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0F992FDF" w:rsidR="00D05D85" w:rsidRDefault="00D05D85" w:rsidP="00D05D85">
      <w:pPr>
        <w:pStyle w:val="western"/>
        <w:spacing w:after="0" w:line="240" w:lineRule="auto"/>
        <w:ind w:left="363" w:firstLine="0"/>
        <w:jc w:val="right"/>
      </w:pPr>
      <w:r>
        <w:t>Toruń,</w:t>
      </w:r>
      <w:r w:rsidR="008A55A9">
        <w:rPr>
          <w:color w:val="auto"/>
        </w:rPr>
        <w:t xml:space="preserve"> 22</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0400E9A5" w:rsidR="00D05D85" w:rsidRDefault="00A62692" w:rsidP="00D05D85">
      <w:pPr>
        <w:pStyle w:val="western"/>
        <w:spacing w:after="0" w:line="240" w:lineRule="auto"/>
        <w:ind w:firstLine="0"/>
      </w:pPr>
      <w:r>
        <w:t>WŚiE</w:t>
      </w:r>
      <w:r w:rsidR="00D05D85">
        <w:t>.7021</w:t>
      </w:r>
      <w:r w:rsidR="00D05D85" w:rsidRPr="00B23EA8">
        <w:rPr>
          <w:color w:val="auto"/>
        </w:rPr>
        <w:t>.</w:t>
      </w:r>
      <w:r w:rsidR="00D67167">
        <w:rPr>
          <w:color w:val="auto"/>
        </w:rPr>
        <w:t>100</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21D6EFF9" w:rsidR="00D05D85" w:rsidRDefault="00D05D85" w:rsidP="00B80C83">
      <w:pPr>
        <w:pStyle w:val="western"/>
        <w:spacing w:line="360" w:lineRule="auto"/>
        <w:jc w:val="center"/>
        <w:rPr>
          <w:b/>
          <w:bCs/>
        </w:rPr>
      </w:pPr>
      <w:r w:rsidRPr="00B80C83">
        <w:rPr>
          <w:b/>
          <w:bCs/>
        </w:rPr>
        <w:t>„</w:t>
      </w:r>
      <w:r w:rsidR="00F524ED" w:rsidRPr="0054457F">
        <w:rPr>
          <w:b/>
        </w:rPr>
        <w:t>Wykonanie ekspertyzy</w:t>
      </w:r>
      <w:r w:rsidR="00F524ED">
        <w:rPr>
          <w:b/>
        </w:rPr>
        <w:t xml:space="preserve"> stanu</w:t>
      </w:r>
      <w:r w:rsidR="00F524ED" w:rsidRPr="0054457F">
        <w:rPr>
          <w:b/>
        </w:rPr>
        <w:t xml:space="preserve"> drzewostanu w zabytkowym Parku Miejskim na Bydgoskim Przedmieściu w Toruniu wraz z koncepcją </w:t>
      </w:r>
      <w:r w:rsidR="00F524ED">
        <w:rPr>
          <w:b/>
        </w:rPr>
        <w:t xml:space="preserve">nowych </w:t>
      </w:r>
      <w:proofErr w:type="spellStart"/>
      <w:r w:rsidR="00F524ED">
        <w:rPr>
          <w:b/>
        </w:rPr>
        <w:t>nasadzeń</w:t>
      </w:r>
      <w:proofErr w:type="spellEnd"/>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E8AEA" w14:textId="77777777" w:rsidR="00A01823"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Wykonanie dokumentacji obejmującej:</w:t>
      </w:r>
    </w:p>
    <w:p w14:paraId="6803DF97" w14:textId="5DCD297F" w:rsidR="00A01823" w:rsidRDefault="00F524ED" w:rsidP="00A01823">
      <w:pPr>
        <w:pStyle w:val="Akapitzlist"/>
        <w:numPr>
          <w:ilvl w:val="1"/>
          <w:numId w:val="24"/>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Ekspertyzę identyfikacji przyczyn ponadnormatywnego obumierania drzewostanu na terenie zabytkowego Parku Miejskiego na Bydgoskim Przedmieściu obejmującej</w:t>
      </w:r>
      <w:r w:rsidR="00A01823">
        <w:rPr>
          <w:rFonts w:ascii="Times New Roman" w:hAnsi="Times New Roman"/>
          <w:sz w:val="24"/>
          <w:szCs w:val="24"/>
        </w:rPr>
        <w:t>:</w:t>
      </w:r>
    </w:p>
    <w:p w14:paraId="3F619799" w14:textId="77777777" w:rsidR="00F524ED" w:rsidRDefault="00F524ED" w:rsidP="00D67167">
      <w:pPr>
        <w:pStyle w:val="Standard"/>
        <w:numPr>
          <w:ilvl w:val="0"/>
          <w:numId w:val="27"/>
        </w:numPr>
        <w:spacing w:line="276" w:lineRule="auto"/>
        <w:jc w:val="both"/>
        <w:rPr>
          <w:rFonts w:ascii="Times New Roman" w:hAnsi="Times New Roman" w:cs="Times New Roman"/>
        </w:rPr>
      </w:pPr>
      <w:r>
        <w:rPr>
          <w:rFonts w:ascii="Times New Roman" w:hAnsi="Times New Roman" w:cs="Times New Roman"/>
        </w:rPr>
        <w:t xml:space="preserve">opinię hydrogeologiczną informującą o budowie gruntu i aktualnym stanie poziomu wód gruntowych i zmian jakie zaszły przez ostatnie lata w tym zakresie oraz roli kanalizacji deszczowej wprowadzonej w ul. Bydgoskiej, </w:t>
      </w:r>
    </w:p>
    <w:p w14:paraId="15E478C6" w14:textId="77777777"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opinię gleboznawcy o stanie gleb i zmian jakie zaszły przez ostatnie lata w tym zakresie,</w:t>
      </w:r>
    </w:p>
    <w:p w14:paraId="4D41D58F" w14:textId="7D1D3769"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 xml:space="preserve">ocenę wizualną stanu zdrowotnego drzew z podziałem na gatunki liściaste i iglaste </w:t>
      </w:r>
      <w:r w:rsidR="00D67167">
        <w:rPr>
          <w:rFonts w:ascii="Times New Roman" w:hAnsi="Times New Roman" w:cs="Times New Roman"/>
        </w:rPr>
        <w:br/>
      </w:r>
      <w:r w:rsidRPr="00F524ED">
        <w:rPr>
          <w:rFonts w:ascii="Times New Roman" w:hAnsi="Times New Roman" w:cs="Times New Roman"/>
        </w:rPr>
        <w:t>w zakresie obszarowym,</w:t>
      </w:r>
    </w:p>
    <w:p w14:paraId="7BB5CFCD" w14:textId="77777777"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wnioski podsumowujące w/w opinie w stosunku do zadrzewienia istniejącego ze wskazaniem przyczyn obumierania drzew (ewentualne określenie występujących patogenów, szkodników itp.)</w:t>
      </w:r>
      <w:r>
        <w:rPr>
          <w:rFonts w:ascii="Times New Roman" w:hAnsi="Times New Roman" w:cs="Times New Roman"/>
        </w:rPr>
        <w:t>,</w:t>
      </w:r>
    </w:p>
    <w:p w14:paraId="5F227E56" w14:textId="08F1E9BB" w:rsidR="00A01823" w:rsidRP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wskazanie zaleceń dla poprawy warunków siedliskowych drzew istniejących w celu ograniczenia ich zamierania</w:t>
      </w:r>
      <w:r w:rsidR="00A01823" w:rsidRPr="00F524ED">
        <w:rPr>
          <w:rFonts w:ascii="Times New Roman" w:hAnsi="Times New Roman"/>
        </w:rPr>
        <w:t>.</w:t>
      </w:r>
    </w:p>
    <w:p w14:paraId="43A060F5" w14:textId="40F19EDD" w:rsidR="00F524ED" w:rsidRPr="00F524ED" w:rsidRDefault="00F524ED" w:rsidP="00F524ED">
      <w:pPr>
        <w:pStyle w:val="Standard"/>
        <w:numPr>
          <w:ilvl w:val="1"/>
          <w:numId w:val="24"/>
        </w:numPr>
        <w:spacing w:line="276" w:lineRule="auto"/>
        <w:jc w:val="both"/>
        <w:rPr>
          <w:rFonts w:ascii="Times New Roman" w:hAnsi="Times New Roman" w:cs="Times New Roman"/>
        </w:rPr>
      </w:pPr>
      <w:r>
        <w:rPr>
          <w:rFonts w:ascii="Times New Roman" w:hAnsi="Times New Roman"/>
        </w:rPr>
        <w:t>Koncepcję uzupełnienia drzewostanu zabytkowego Parku Miejskiego na Bydgoskim Przedmieściu obejmując</w:t>
      </w:r>
      <w:r w:rsidR="00D67167">
        <w:rPr>
          <w:rFonts w:ascii="Times New Roman" w:hAnsi="Times New Roman"/>
        </w:rPr>
        <w:t>ą</w:t>
      </w:r>
      <w:r>
        <w:rPr>
          <w:rFonts w:ascii="Times New Roman" w:hAnsi="Times New Roman" w:cs="Times New Roman"/>
        </w:rPr>
        <w:t xml:space="preserve"> wytyczne do wprowadzenia nowych </w:t>
      </w:r>
      <w:proofErr w:type="spellStart"/>
      <w:r>
        <w:rPr>
          <w:rFonts w:ascii="Times New Roman" w:hAnsi="Times New Roman" w:cs="Times New Roman"/>
        </w:rPr>
        <w:t>nasadzeń</w:t>
      </w:r>
      <w:proofErr w:type="spellEnd"/>
      <w:r>
        <w:rPr>
          <w:rFonts w:ascii="Times New Roman" w:hAnsi="Times New Roman" w:cs="Times New Roman"/>
        </w:rPr>
        <w:t xml:space="preserve"> drzew w celu uzupełnienia drzewostanu (wraz ze wskazaniem gatunków) </w:t>
      </w:r>
      <w:r>
        <w:rPr>
          <w:rFonts w:ascii="Times New Roman" w:hAnsi="Times New Roman"/>
        </w:rPr>
        <w:t>w uzgodnieniu z tut. Wydziałem oraz Kujawsko-Pomorskim Wojewódzkim Konserwatora Zabytków.</w:t>
      </w:r>
    </w:p>
    <w:p w14:paraId="1CB922B0" w14:textId="1FF9250A" w:rsidR="00A01823" w:rsidRPr="00F524ED" w:rsidRDefault="00F524ED" w:rsidP="00FB6186">
      <w:pPr>
        <w:pStyle w:val="Standard"/>
        <w:numPr>
          <w:ilvl w:val="0"/>
          <w:numId w:val="24"/>
        </w:numPr>
        <w:spacing w:after="200" w:line="276" w:lineRule="auto"/>
        <w:jc w:val="both"/>
        <w:rPr>
          <w:rFonts w:ascii="Times New Roman" w:hAnsi="Times New Roman"/>
        </w:rPr>
      </w:pPr>
      <w:r w:rsidRPr="00F524ED">
        <w:rPr>
          <w:rFonts w:ascii="Times New Roman" w:hAnsi="Times New Roman" w:cs="Times New Roman"/>
        </w:rPr>
        <w:t xml:space="preserve">Obszar badań należy podzielić na dwie strefy tj. północno-wschodnią </w:t>
      </w:r>
      <w:r w:rsidR="00D67167">
        <w:rPr>
          <w:rFonts w:ascii="Times New Roman" w:hAnsi="Times New Roman" w:cs="Times New Roman"/>
        </w:rPr>
        <w:br/>
      </w:r>
      <w:r w:rsidRPr="00F524ED">
        <w:rPr>
          <w:rFonts w:ascii="Times New Roman" w:hAnsi="Times New Roman" w:cs="Times New Roman"/>
        </w:rPr>
        <w:t xml:space="preserve">i środkową. </w:t>
      </w:r>
      <w:r w:rsidR="00A01823" w:rsidRPr="00F524ED">
        <w:rPr>
          <w:rFonts w:ascii="Times New Roman" w:hAnsi="Times New Roman"/>
        </w:rPr>
        <w:t xml:space="preserve">Lokalizacja szczegółowa dostępna pod linkiem: </w:t>
      </w:r>
    </w:p>
    <w:p w14:paraId="5EC4D5C9" w14:textId="7BA84D3D" w:rsidR="00F524ED" w:rsidRPr="00DC7783" w:rsidRDefault="008A55A9" w:rsidP="00F524ED">
      <w:pPr>
        <w:pStyle w:val="Standard"/>
        <w:spacing w:line="276" w:lineRule="auto"/>
        <w:ind w:left="360"/>
        <w:rPr>
          <w:rFonts w:ascii="Times New Roman" w:eastAsiaTheme="minorHAnsi" w:hAnsi="Times New Roman" w:cs="Times New Roman"/>
          <w:kern w:val="0"/>
          <w:lang w:eastAsia="en-US" w:bidi="ar-SA"/>
        </w:rPr>
      </w:pPr>
      <w:hyperlink r:id="rId6" w:history="1">
        <w:r w:rsidR="00F524ED" w:rsidRPr="00DC7783">
          <w:rPr>
            <w:rStyle w:val="Hipercze"/>
            <w:rFonts w:ascii="Times New Roman" w:eastAsiaTheme="minorHAnsi" w:hAnsi="Times New Roman" w:cs="Times New Roman"/>
            <w:kern w:val="0"/>
            <w:lang w:eastAsia="en-US" w:bidi="ar-SA"/>
          </w:rPr>
          <w:t>https://www.google.pl/maps/d/edit?mid=1VX1MvvCUkcwkxA6pYXxnLzxxYjcoF8OA&amp;usp=sharing</w:t>
        </w:r>
      </w:hyperlink>
    </w:p>
    <w:p w14:paraId="44F8BEC1" w14:textId="77777777" w:rsidR="00F524ED" w:rsidRDefault="00F524ED" w:rsidP="00F524ED">
      <w:pPr>
        <w:pStyle w:val="Standard"/>
        <w:spacing w:line="276" w:lineRule="auto"/>
        <w:ind w:left="360"/>
        <w:rPr>
          <w:rFonts w:asciiTheme="minorHAnsi" w:eastAsiaTheme="minorHAnsi" w:hAnsiTheme="minorHAnsi" w:cstheme="minorBidi"/>
          <w:kern w:val="0"/>
          <w:sz w:val="22"/>
          <w:szCs w:val="22"/>
          <w:lang w:eastAsia="en-US" w:bidi="ar-SA"/>
        </w:rPr>
      </w:pPr>
    </w:p>
    <w:p w14:paraId="69693174" w14:textId="69EC2DEC" w:rsidR="00F524ED" w:rsidRDefault="00F524ED" w:rsidP="00D67167">
      <w:pPr>
        <w:pStyle w:val="Standard"/>
        <w:numPr>
          <w:ilvl w:val="0"/>
          <w:numId w:val="24"/>
        </w:numPr>
        <w:spacing w:line="276" w:lineRule="auto"/>
        <w:jc w:val="both"/>
        <w:rPr>
          <w:rFonts w:ascii="Times New Roman" w:hAnsi="Times New Roman" w:cs="Times New Roman"/>
        </w:rPr>
      </w:pPr>
      <w:r>
        <w:rPr>
          <w:rFonts w:ascii="Times New Roman" w:hAnsi="Times New Roman" w:cs="Times New Roman"/>
        </w:rPr>
        <w:t xml:space="preserve">W ramach ekspertyzy nie przewiduje się przeprowadzenia inwentaryzacji drzewostanu </w:t>
      </w:r>
      <w:r w:rsidR="00D67167">
        <w:rPr>
          <w:rFonts w:ascii="Times New Roman" w:hAnsi="Times New Roman" w:cs="Times New Roman"/>
        </w:rPr>
        <w:br/>
      </w:r>
      <w:r>
        <w:rPr>
          <w:rFonts w:ascii="Times New Roman" w:hAnsi="Times New Roman" w:cs="Times New Roman"/>
        </w:rPr>
        <w:t xml:space="preserve">w parku.  </w:t>
      </w:r>
    </w:p>
    <w:p w14:paraId="500B3DBF" w14:textId="3AB998F7" w:rsidR="00A01823" w:rsidRPr="00684128" w:rsidRDefault="00A01823" w:rsidP="00F524ED">
      <w:pPr>
        <w:pStyle w:val="Akapitzlist"/>
        <w:numPr>
          <w:ilvl w:val="0"/>
          <w:numId w:val="24"/>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lastRenderedPageBreak/>
        <w:t xml:space="preserve">Opracowanie należy zilustrować fotografiami, rycinami, mapami, planami sytuacyjnymi itp. </w:t>
      </w:r>
      <w:r w:rsidRPr="00684128">
        <w:rPr>
          <w:rFonts w:ascii="Times New Roman" w:hAnsi="Times New Roman"/>
          <w:sz w:val="24"/>
          <w:szCs w:val="24"/>
        </w:rPr>
        <w:t>Nie jest wymagana mapa do celów projektowych</w:t>
      </w:r>
      <w:r>
        <w:rPr>
          <w:rFonts w:ascii="Times New Roman" w:hAnsi="Times New Roman"/>
          <w:sz w:val="24"/>
          <w:szCs w:val="24"/>
        </w:rPr>
        <w:t>. Opracowanie można wykonać na mapie zasadniczej</w:t>
      </w:r>
      <w:r w:rsidR="005968C8">
        <w:rPr>
          <w:rFonts w:ascii="Times New Roman" w:hAnsi="Times New Roman"/>
          <w:sz w:val="24"/>
          <w:szCs w:val="24"/>
        </w:rPr>
        <w:t>.</w:t>
      </w:r>
      <w:r>
        <w:rPr>
          <w:rFonts w:ascii="Times New Roman" w:hAnsi="Times New Roman"/>
          <w:sz w:val="24"/>
          <w:szCs w:val="24"/>
        </w:rPr>
        <w:t xml:space="preserve"> </w:t>
      </w:r>
    </w:p>
    <w:p w14:paraId="6F1F746D" w14:textId="7CCDE4D2" w:rsidR="00466ADF" w:rsidRPr="00A01823" w:rsidRDefault="00466ADF" w:rsidP="00F524ED">
      <w:pPr>
        <w:pStyle w:val="Akapitzlist"/>
        <w:numPr>
          <w:ilvl w:val="0"/>
          <w:numId w:val="24"/>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2 egzemplarze oraz </w:t>
      </w:r>
      <w:r w:rsidRPr="00A01823">
        <w:rPr>
          <w:rFonts w:ascii="Times New Roman" w:hAnsi="Times New Roman"/>
          <w:sz w:val="24"/>
          <w:szCs w:val="24"/>
        </w:rPr>
        <w:br/>
        <w:t>w wersji elektronicznej w formacie pdf. na płycie CD/DVD – 1 egzemplarz.</w:t>
      </w:r>
    </w:p>
    <w:p w14:paraId="2AD8D8EB" w14:textId="17FC2366" w:rsidR="00C703A6" w:rsidRDefault="00D05D85" w:rsidP="00F524ED">
      <w:pPr>
        <w:pStyle w:val="western"/>
        <w:numPr>
          <w:ilvl w:val="0"/>
          <w:numId w:val="24"/>
        </w:numPr>
        <w:spacing w:after="0" w:line="276" w:lineRule="auto"/>
        <w:ind w:left="284" w:hanging="284"/>
      </w:pPr>
      <w:r>
        <w:t>Kryteria oceny złożonych ofert: cena - 100%.</w:t>
      </w:r>
    </w:p>
    <w:p w14:paraId="576DDF9A" w14:textId="06D601C1" w:rsidR="00C703A6" w:rsidRDefault="00D05D85" w:rsidP="00F524ED">
      <w:pPr>
        <w:pStyle w:val="western"/>
        <w:numPr>
          <w:ilvl w:val="0"/>
          <w:numId w:val="24"/>
        </w:numPr>
        <w:spacing w:after="0" w:line="276" w:lineRule="auto"/>
        <w:ind w:left="284" w:hanging="284"/>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F524ED">
      <w:pPr>
        <w:pStyle w:val="western"/>
        <w:numPr>
          <w:ilvl w:val="0"/>
          <w:numId w:val="24"/>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F524ED">
      <w:pPr>
        <w:pStyle w:val="western"/>
        <w:numPr>
          <w:ilvl w:val="0"/>
          <w:numId w:val="24"/>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F524ED">
      <w:pPr>
        <w:pStyle w:val="western"/>
        <w:numPr>
          <w:ilvl w:val="0"/>
          <w:numId w:val="24"/>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8C531E1"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A01823">
        <w:rPr>
          <w:b/>
          <w:bCs/>
        </w:rPr>
        <w:t>30</w:t>
      </w:r>
      <w:r w:rsidR="00B83D12" w:rsidRPr="004907D5">
        <w:rPr>
          <w:b/>
          <w:bCs/>
        </w:rPr>
        <w:t>.0</w:t>
      </w:r>
      <w:r w:rsidR="00A01823">
        <w:rPr>
          <w:b/>
          <w:bCs/>
        </w:rPr>
        <w:t>6</w:t>
      </w:r>
      <w:r w:rsidR="00B83D12" w:rsidRPr="004907D5">
        <w:rPr>
          <w:b/>
          <w:bCs/>
        </w:rPr>
        <w:t xml:space="preserve">.2022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03ADBC26"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5968C8">
        <w:rPr>
          <w:b/>
          <w:bCs/>
          <w:color w:val="auto"/>
          <w:sz w:val="22"/>
          <w:szCs w:val="22"/>
        </w:rPr>
        <w:t>29</w:t>
      </w:r>
      <w:r w:rsidRPr="00ED044B">
        <w:rPr>
          <w:b/>
          <w:bCs/>
          <w:color w:val="auto"/>
          <w:sz w:val="22"/>
          <w:szCs w:val="22"/>
        </w:rPr>
        <w:t>.0</w:t>
      </w:r>
      <w:r w:rsidR="008E77DE">
        <w:rPr>
          <w:b/>
          <w:bCs/>
          <w:color w:val="auto"/>
          <w:sz w:val="22"/>
          <w:szCs w:val="22"/>
        </w:rPr>
        <w:t>3</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2CFF8786" w14:textId="50F3CB00" w:rsidR="00CD4CEC" w:rsidRDefault="00CD4CEC" w:rsidP="00B83D12">
      <w:pPr>
        <w:pStyle w:val="western"/>
        <w:spacing w:after="0" w:line="240" w:lineRule="auto"/>
        <w:ind w:firstLine="0"/>
        <w:rPr>
          <w:b/>
          <w:bCs/>
        </w:rPr>
      </w:pPr>
    </w:p>
    <w:p w14:paraId="33BF9C23" w14:textId="58D5BC16" w:rsidR="00D67167" w:rsidRDefault="00D67167" w:rsidP="00B83D12">
      <w:pPr>
        <w:pStyle w:val="western"/>
        <w:spacing w:after="0" w:line="240" w:lineRule="auto"/>
        <w:ind w:firstLine="0"/>
        <w:rPr>
          <w:b/>
          <w:bCs/>
        </w:rPr>
      </w:pPr>
    </w:p>
    <w:p w14:paraId="341B9DFA" w14:textId="77777777" w:rsidR="00867AE1" w:rsidRPr="008A55A9" w:rsidRDefault="00867AE1" w:rsidP="008A55A9">
      <w:pPr>
        <w:keepNext/>
        <w:tabs>
          <w:tab w:val="left" w:pos="709"/>
        </w:tabs>
        <w:spacing w:line="240" w:lineRule="auto"/>
        <w:rPr>
          <w:rStyle w:val="Hipercze"/>
          <w:rFonts w:ascii="Times New Roman" w:hAnsi="Times New Roman" w:cs="Times New Roman"/>
          <w:color w:val="auto"/>
          <w:sz w:val="24"/>
          <w:szCs w:val="24"/>
          <w:u w:val="none"/>
        </w:rPr>
      </w:pPr>
    </w:p>
    <w:p w14:paraId="5458F06E" w14:textId="77777777" w:rsidR="001D63B2" w:rsidRPr="001D63B2" w:rsidRDefault="001D63B2" w:rsidP="001D63B2">
      <w:pPr>
        <w:pStyle w:val="Akapitzlist"/>
        <w:spacing w:line="276" w:lineRule="auto"/>
        <w:rPr>
          <w:rStyle w:val="Hipercze"/>
          <w:color w:val="auto"/>
          <w:u w:val="none"/>
        </w:rPr>
      </w:pPr>
    </w:p>
    <w:p w14:paraId="1E0743E0" w14:textId="77777777" w:rsidR="00ED044B" w:rsidRPr="00541CB4" w:rsidRDefault="00ED044B" w:rsidP="00ED044B">
      <w:pPr>
        <w:pStyle w:val="Akapitzlist"/>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96A4664"/>
    <w:multiLevelType w:val="hybridMultilevel"/>
    <w:tmpl w:val="74ECE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0"/>
  </w:num>
  <w:num w:numId="4">
    <w:abstractNumId w:val="17"/>
  </w:num>
  <w:num w:numId="5">
    <w:abstractNumId w:val="16"/>
  </w:num>
  <w:num w:numId="6">
    <w:abstractNumId w:val="25"/>
  </w:num>
  <w:num w:numId="7">
    <w:abstractNumId w:val="9"/>
  </w:num>
  <w:num w:numId="8">
    <w:abstractNumId w:val="10"/>
  </w:num>
  <w:num w:numId="9">
    <w:abstractNumId w:val="12"/>
  </w:num>
  <w:num w:numId="10">
    <w:abstractNumId w:val="20"/>
  </w:num>
  <w:num w:numId="11">
    <w:abstractNumId w:val="19"/>
  </w:num>
  <w:num w:numId="12">
    <w:abstractNumId w:val="2"/>
  </w:num>
  <w:num w:numId="13">
    <w:abstractNumId w:val="11"/>
  </w:num>
  <w:num w:numId="14">
    <w:abstractNumId w:val="21"/>
  </w:num>
  <w:num w:numId="15">
    <w:abstractNumId w:val="13"/>
  </w:num>
  <w:num w:numId="16">
    <w:abstractNumId w:val="15"/>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5"/>
  </w:num>
  <w:num w:numId="24">
    <w:abstractNumId w:val="8"/>
  </w:num>
  <w:num w:numId="25">
    <w:abstractNumId w:val="23"/>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06C65"/>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7CA0"/>
    <w:rsid w:val="00611FF2"/>
    <w:rsid w:val="00614F95"/>
    <w:rsid w:val="0066241F"/>
    <w:rsid w:val="00755358"/>
    <w:rsid w:val="007F5F68"/>
    <w:rsid w:val="00867AE1"/>
    <w:rsid w:val="008A55A9"/>
    <w:rsid w:val="008B5C7B"/>
    <w:rsid w:val="008E77DE"/>
    <w:rsid w:val="00937C76"/>
    <w:rsid w:val="009A0963"/>
    <w:rsid w:val="00A01823"/>
    <w:rsid w:val="00A07B6E"/>
    <w:rsid w:val="00A62692"/>
    <w:rsid w:val="00B23EA8"/>
    <w:rsid w:val="00B547A3"/>
    <w:rsid w:val="00B61B02"/>
    <w:rsid w:val="00B80C83"/>
    <w:rsid w:val="00B83D12"/>
    <w:rsid w:val="00C63303"/>
    <w:rsid w:val="00C703A6"/>
    <w:rsid w:val="00C77D9B"/>
    <w:rsid w:val="00CA7451"/>
    <w:rsid w:val="00CD4CEC"/>
    <w:rsid w:val="00D05D85"/>
    <w:rsid w:val="00D43424"/>
    <w:rsid w:val="00D67167"/>
    <w:rsid w:val="00D75CD1"/>
    <w:rsid w:val="00DB7F5A"/>
    <w:rsid w:val="00DC7783"/>
    <w:rsid w:val="00E07881"/>
    <w:rsid w:val="00E17B25"/>
    <w:rsid w:val="00E246C9"/>
    <w:rsid w:val="00ED044B"/>
    <w:rsid w:val="00EF0F1F"/>
    <w:rsid w:val="00F524ED"/>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 w:type="paragraph" w:customStyle="1" w:styleId="Standard">
    <w:name w:val="Standard"/>
    <w:rsid w:val="00F524E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maps/d/edit?mid=1VX1MvvCUkcwkxA6pYXxnLzxxYjcoF8OA&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2022-03-22T06:57:00Z</dcterms:created>
  <dcterms:modified xsi:type="dcterms:W3CDTF">2022-03-22T06:57:00Z</dcterms:modified>
</cp:coreProperties>
</file>