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10" w:rsidRPr="00F80610" w:rsidRDefault="00F80610" w:rsidP="00F80610">
      <w:pPr>
        <w:autoSpaceDE w:val="0"/>
        <w:autoSpaceDN w:val="0"/>
        <w:jc w:val="center"/>
        <w:rPr>
          <w:color w:val="000000"/>
          <w:szCs w:val="24"/>
        </w:rPr>
      </w:pPr>
      <w:r w:rsidRPr="00F80610">
        <w:rPr>
          <w:color w:val="000000"/>
          <w:szCs w:val="24"/>
        </w:rPr>
        <w:t>UCHWAŁA NR 619/21</w:t>
      </w:r>
    </w:p>
    <w:p w:rsidR="00F80610" w:rsidRPr="00F80610" w:rsidRDefault="00F80610" w:rsidP="00F80610">
      <w:pPr>
        <w:autoSpaceDE w:val="0"/>
        <w:autoSpaceDN w:val="0"/>
        <w:jc w:val="center"/>
        <w:rPr>
          <w:color w:val="000000"/>
          <w:szCs w:val="24"/>
        </w:rPr>
      </w:pPr>
      <w:r w:rsidRPr="00F80610">
        <w:rPr>
          <w:color w:val="000000"/>
          <w:szCs w:val="24"/>
        </w:rPr>
        <w:t>RADY MIASTA TORUNIA</w:t>
      </w:r>
    </w:p>
    <w:p w:rsidR="00F80610" w:rsidRPr="00F80610" w:rsidRDefault="00F80610" w:rsidP="00F80610">
      <w:pPr>
        <w:autoSpaceDE w:val="0"/>
        <w:autoSpaceDN w:val="0"/>
        <w:jc w:val="center"/>
        <w:rPr>
          <w:color w:val="000000"/>
          <w:szCs w:val="24"/>
        </w:rPr>
      </w:pPr>
      <w:r w:rsidRPr="00F80610">
        <w:rPr>
          <w:color w:val="000000"/>
          <w:szCs w:val="24"/>
        </w:rPr>
        <w:t>z dnia 15 kwietnia 2021 r.</w:t>
      </w:r>
    </w:p>
    <w:p w:rsidR="009760A7" w:rsidRPr="00F80610" w:rsidRDefault="009760A7" w:rsidP="00F80610">
      <w:pPr>
        <w:jc w:val="center"/>
        <w:rPr>
          <w:szCs w:val="24"/>
        </w:rPr>
      </w:pPr>
    </w:p>
    <w:p w:rsidR="00552F80" w:rsidRPr="00F80610" w:rsidRDefault="00552F80" w:rsidP="00F80610">
      <w:pPr>
        <w:jc w:val="both"/>
        <w:rPr>
          <w:szCs w:val="24"/>
        </w:rPr>
      </w:pPr>
      <w:r w:rsidRPr="00F80610">
        <w:rPr>
          <w:szCs w:val="24"/>
        </w:rPr>
        <w:t>zmieniająca uchwałę w sprawie budżetu obywatelskiego w Toruniu.</w:t>
      </w:r>
    </w:p>
    <w:p w:rsidR="00552F80" w:rsidRPr="00F80610" w:rsidRDefault="00552F80" w:rsidP="00F80610">
      <w:pPr>
        <w:rPr>
          <w:szCs w:val="24"/>
        </w:rPr>
      </w:pPr>
    </w:p>
    <w:p w:rsidR="00552F80" w:rsidRPr="00F80610" w:rsidRDefault="00552F80" w:rsidP="00A0709F">
      <w:pPr>
        <w:jc w:val="both"/>
        <w:rPr>
          <w:szCs w:val="24"/>
        </w:rPr>
      </w:pPr>
      <w:r w:rsidRPr="00F80610">
        <w:rPr>
          <w:szCs w:val="24"/>
        </w:rPr>
        <w:t>Na podstawie art 5a ust. 2 i 7 ustawy z dnia 8 marca 1990 r. o samorządzie gminnym (</w:t>
      </w:r>
      <w:r w:rsidRPr="00F80610">
        <w:rPr>
          <w:rStyle w:val="CharStyle15"/>
          <w:i w:val="0"/>
          <w:sz w:val="24"/>
          <w:szCs w:val="24"/>
        </w:rPr>
        <w:t>Dz.</w:t>
      </w:r>
      <w:r w:rsidR="00A0709F">
        <w:rPr>
          <w:rStyle w:val="CharStyle15"/>
          <w:i w:val="0"/>
          <w:sz w:val="24"/>
          <w:szCs w:val="24"/>
        </w:rPr>
        <w:t xml:space="preserve"> </w:t>
      </w:r>
      <w:r w:rsidRPr="00F80610">
        <w:rPr>
          <w:rStyle w:val="CharStyle15"/>
          <w:i w:val="0"/>
          <w:sz w:val="24"/>
          <w:szCs w:val="24"/>
        </w:rPr>
        <w:t>U.</w:t>
      </w:r>
      <w:r w:rsidR="00A0709F">
        <w:rPr>
          <w:rStyle w:val="CharStyle15"/>
          <w:i w:val="0"/>
          <w:sz w:val="24"/>
          <w:szCs w:val="24"/>
        </w:rPr>
        <w:t xml:space="preserve"> </w:t>
      </w:r>
      <w:r w:rsidRPr="00F80610">
        <w:rPr>
          <w:szCs w:val="24"/>
        </w:rPr>
        <w:t>z</w:t>
      </w:r>
      <w:r w:rsidR="00A0709F">
        <w:rPr>
          <w:szCs w:val="24"/>
        </w:rPr>
        <w:t> </w:t>
      </w:r>
      <w:r w:rsidRPr="00F80610">
        <w:rPr>
          <w:szCs w:val="24"/>
        </w:rPr>
        <w:t xml:space="preserve">2020 r. poz. 713 z </w:t>
      </w:r>
      <w:proofErr w:type="spellStart"/>
      <w:r w:rsidRPr="00F80610">
        <w:rPr>
          <w:szCs w:val="24"/>
        </w:rPr>
        <w:t>późn</w:t>
      </w:r>
      <w:proofErr w:type="spellEnd"/>
      <w:r w:rsidRPr="00F80610">
        <w:rPr>
          <w:szCs w:val="24"/>
        </w:rPr>
        <w:t>. zm.</w:t>
      </w:r>
      <w:r w:rsidRPr="00F80610">
        <w:rPr>
          <w:rStyle w:val="Odwoanieprzypisudolnego"/>
          <w:szCs w:val="24"/>
        </w:rPr>
        <w:footnoteReference w:id="1"/>
      </w:r>
      <w:r w:rsidRPr="00F80610">
        <w:rPr>
          <w:szCs w:val="24"/>
        </w:rPr>
        <w:t>) oraz § 11</w:t>
      </w:r>
      <w:r w:rsidRPr="00F80610">
        <w:rPr>
          <w:rFonts w:eastAsia="Times New Roman"/>
          <w:bCs/>
          <w:szCs w:val="24"/>
          <w:lang w:eastAsia="pl-PL"/>
        </w:rPr>
        <w:t xml:space="preserve"> Statutu Gminy Miasta Toruń stanowiącego załącznik do uchwały </w:t>
      </w:r>
      <w:r w:rsidR="00B42094">
        <w:rPr>
          <w:rFonts w:eastAsia="Times New Roman"/>
          <w:bCs/>
          <w:szCs w:val="24"/>
          <w:lang w:eastAsia="pl-PL"/>
        </w:rPr>
        <w:t>n</w:t>
      </w:r>
      <w:r w:rsidRPr="00F80610">
        <w:rPr>
          <w:rFonts w:eastAsia="Times New Roman"/>
          <w:bCs/>
          <w:szCs w:val="24"/>
          <w:lang w:eastAsia="pl-PL"/>
        </w:rPr>
        <w:t xml:space="preserve">r 146/99 Rady Miasta Torunia </w:t>
      </w:r>
      <w:r w:rsidRPr="00F80610">
        <w:rPr>
          <w:rFonts w:eastAsia="Times New Roman"/>
          <w:szCs w:val="24"/>
          <w:lang w:eastAsia="pl-PL"/>
        </w:rPr>
        <w:t xml:space="preserve">z dnia 15 kwietnia 1999 r. </w:t>
      </w:r>
      <w:r w:rsidRPr="00F80610">
        <w:rPr>
          <w:rFonts w:eastAsia="Times New Roman"/>
          <w:bCs/>
          <w:szCs w:val="24"/>
          <w:lang w:eastAsia="pl-PL"/>
        </w:rPr>
        <w:t>w sprawie przyjęcia Statutu Gminy Miasta Toruń (</w:t>
      </w:r>
      <w:r w:rsidRPr="00F80610">
        <w:rPr>
          <w:szCs w:val="24"/>
        </w:rPr>
        <w:t>Dz. Urz. Woj. Kuj.-Pom. z 2020 r. poz. 3209</w:t>
      </w:r>
      <w:r w:rsidRPr="00F80610">
        <w:rPr>
          <w:rFonts w:eastAsia="Times New Roman"/>
          <w:szCs w:val="24"/>
          <w:lang w:eastAsia="pl-PL"/>
        </w:rPr>
        <w:t>)</w:t>
      </w:r>
      <w:r w:rsidRPr="00F80610">
        <w:rPr>
          <w:szCs w:val="24"/>
        </w:rPr>
        <w:t xml:space="preserve"> uchwala się, co następuje:</w:t>
      </w:r>
    </w:p>
    <w:p w:rsidR="00552F80" w:rsidRPr="00F80610" w:rsidRDefault="00552F80" w:rsidP="00F80610">
      <w:pPr>
        <w:rPr>
          <w:szCs w:val="24"/>
        </w:rPr>
      </w:pPr>
    </w:p>
    <w:p w:rsidR="00F17D4A" w:rsidRPr="00F80610" w:rsidRDefault="00552F80" w:rsidP="00F80610">
      <w:pPr>
        <w:ind w:firstLine="567"/>
        <w:jc w:val="both"/>
        <w:rPr>
          <w:szCs w:val="24"/>
        </w:rPr>
      </w:pPr>
      <w:r w:rsidRPr="00F80610">
        <w:rPr>
          <w:szCs w:val="24"/>
        </w:rPr>
        <w:t>§</w:t>
      </w:r>
      <w:r w:rsidR="00F80610">
        <w:rPr>
          <w:szCs w:val="24"/>
        </w:rPr>
        <w:t xml:space="preserve"> </w:t>
      </w:r>
      <w:r w:rsidRPr="00F80610">
        <w:rPr>
          <w:szCs w:val="24"/>
        </w:rPr>
        <w:t>1.</w:t>
      </w:r>
      <w:r w:rsidR="00F80610">
        <w:rPr>
          <w:szCs w:val="24"/>
        </w:rPr>
        <w:t xml:space="preserve"> </w:t>
      </w:r>
      <w:r w:rsidRPr="00F80610">
        <w:rPr>
          <w:szCs w:val="24"/>
        </w:rPr>
        <w:t>W uchwale nr 52/19 Rady Miasta Torunia z dnia 7 lutego 2019 r. w sprawie budżetu obywatelskiego w</w:t>
      </w:r>
      <w:r w:rsidR="00642D23">
        <w:rPr>
          <w:szCs w:val="24"/>
        </w:rPr>
        <w:t xml:space="preserve"> </w:t>
      </w:r>
      <w:r w:rsidRPr="00F80610">
        <w:rPr>
          <w:szCs w:val="24"/>
        </w:rPr>
        <w:t>Toruniu</w:t>
      </w:r>
      <w:r w:rsidR="00664AE0" w:rsidRPr="00F80610">
        <w:rPr>
          <w:szCs w:val="24"/>
        </w:rPr>
        <w:t xml:space="preserve"> (Dz. Urz. Woj. Kuj.-Pom. z 2019 r. poz. 962)</w:t>
      </w:r>
      <w:r w:rsidR="00F17D4A" w:rsidRPr="00F80610">
        <w:rPr>
          <w:szCs w:val="24"/>
        </w:rPr>
        <w:t xml:space="preserve"> wprowadza się następujące zmiany:</w:t>
      </w:r>
    </w:p>
    <w:p w:rsidR="00552F80" w:rsidRPr="00F80610" w:rsidRDefault="00EA6B5E" w:rsidP="00F80610">
      <w:pPr>
        <w:pStyle w:val="Akapitzlist"/>
        <w:numPr>
          <w:ilvl w:val="0"/>
          <w:numId w:val="16"/>
        </w:numPr>
        <w:ind w:left="567" w:hanging="425"/>
        <w:jc w:val="both"/>
        <w:rPr>
          <w:szCs w:val="24"/>
        </w:rPr>
      </w:pPr>
      <w:r w:rsidRPr="00F80610">
        <w:rPr>
          <w:szCs w:val="24"/>
        </w:rPr>
        <w:t>§</w:t>
      </w:r>
      <w:r w:rsidR="00F80610">
        <w:rPr>
          <w:szCs w:val="24"/>
        </w:rPr>
        <w:t xml:space="preserve"> </w:t>
      </w:r>
      <w:r w:rsidRPr="00F80610">
        <w:rPr>
          <w:szCs w:val="24"/>
        </w:rPr>
        <w:t>2</w:t>
      </w:r>
      <w:r w:rsidR="00F80610">
        <w:rPr>
          <w:szCs w:val="24"/>
        </w:rPr>
        <w:t xml:space="preserve"> </w:t>
      </w:r>
      <w:r w:rsidRPr="00F80610">
        <w:rPr>
          <w:szCs w:val="24"/>
        </w:rPr>
        <w:t>otrzymuje brzmienie:</w:t>
      </w:r>
    </w:p>
    <w:p w:rsidR="00EA6B5E" w:rsidRPr="00F80610" w:rsidRDefault="00EA6B5E" w:rsidP="00F80610">
      <w:pPr>
        <w:ind w:firstLine="567"/>
        <w:jc w:val="both"/>
        <w:rPr>
          <w:strike/>
          <w:szCs w:val="24"/>
        </w:rPr>
      </w:pPr>
      <w:r w:rsidRPr="00F80610">
        <w:rPr>
          <w:szCs w:val="24"/>
        </w:rPr>
        <w:t>„§ 2. 1. Na budżet obywatelski w Toruniu przeznacza się corocznie kwotę w wysokości 0,5% wydatków Gminy Miasta Toruń zawartych w ostatnim przedłożonym sprawozdaniu z wykonania budżetu miasta Torunia.</w:t>
      </w:r>
    </w:p>
    <w:p w:rsidR="00EA6B5E" w:rsidRPr="00F80610" w:rsidRDefault="00EA6B5E" w:rsidP="00F80610">
      <w:pPr>
        <w:ind w:firstLine="567"/>
        <w:jc w:val="both"/>
        <w:rPr>
          <w:szCs w:val="24"/>
        </w:rPr>
      </w:pPr>
      <w:r w:rsidRPr="00F80610">
        <w:rPr>
          <w:szCs w:val="24"/>
        </w:rPr>
        <w:t>2. Kwotę, o której mowa w ust. 1 zaokrągla się do pełnych dziesiątek tysięcy złotych w górę.”</w:t>
      </w:r>
    </w:p>
    <w:p w:rsidR="00EA6B5E" w:rsidRPr="00F80610" w:rsidRDefault="00F17D4A" w:rsidP="00F80610">
      <w:pPr>
        <w:pStyle w:val="Akapitzlist"/>
        <w:numPr>
          <w:ilvl w:val="0"/>
          <w:numId w:val="16"/>
        </w:numPr>
        <w:ind w:left="567" w:hanging="425"/>
        <w:jc w:val="both"/>
        <w:rPr>
          <w:szCs w:val="24"/>
        </w:rPr>
      </w:pPr>
      <w:r w:rsidRPr="00F80610">
        <w:rPr>
          <w:szCs w:val="24"/>
        </w:rPr>
        <w:t>w</w:t>
      </w:r>
      <w:r w:rsidR="00F40156" w:rsidRPr="00F80610">
        <w:rPr>
          <w:szCs w:val="24"/>
        </w:rPr>
        <w:t xml:space="preserve"> Regulaminie budżetu obywatelskiego w Toruniu</w:t>
      </w:r>
      <w:r w:rsidR="001A4B7C" w:rsidRPr="00F80610">
        <w:rPr>
          <w:szCs w:val="24"/>
        </w:rPr>
        <w:t>,</w:t>
      </w:r>
      <w:r w:rsidR="00F40156" w:rsidRPr="00F80610">
        <w:rPr>
          <w:szCs w:val="24"/>
        </w:rPr>
        <w:t xml:space="preserve"> stanowiącym załącznik </w:t>
      </w:r>
      <w:r w:rsidR="00EA6B5E" w:rsidRPr="00F80610">
        <w:rPr>
          <w:szCs w:val="24"/>
        </w:rPr>
        <w:t>do</w:t>
      </w:r>
      <w:r w:rsidR="00F40156" w:rsidRPr="00F80610">
        <w:rPr>
          <w:szCs w:val="24"/>
        </w:rPr>
        <w:t> </w:t>
      </w:r>
      <w:r w:rsidR="00EA6B5E" w:rsidRPr="00F80610">
        <w:rPr>
          <w:szCs w:val="24"/>
        </w:rPr>
        <w:t>uchwały:</w:t>
      </w:r>
    </w:p>
    <w:p w:rsidR="00F17D4A" w:rsidRPr="00F80610" w:rsidRDefault="00F17D4A" w:rsidP="00F80610">
      <w:pPr>
        <w:pStyle w:val="Akapitzlist"/>
        <w:numPr>
          <w:ilvl w:val="0"/>
          <w:numId w:val="17"/>
        </w:numPr>
        <w:ind w:left="993" w:hanging="426"/>
        <w:jc w:val="both"/>
        <w:rPr>
          <w:szCs w:val="24"/>
        </w:rPr>
      </w:pPr>
      <w:r w:rsidRPr="00F80610">
        <w:rPr>
          <w:szCs w:val="24"/>
        </w:rPr>
        <w:t xml:space="preserve">w </w:t>
      </w:r>
      <w:r w:rsidR="00347B49" w:rsidRPr="00F80610">
        <w:rPr>
          <w:szCs w:val="24"/>
        </w:rPr>
        <w:t>§</w:t>
      </w:r>
      <w:r w:rsidRPr="00F80610">
        <w:rPr>
          <w:szCs w:val="24"/>
        </w:rPr>
        <w:t xml:space="preserve"> 7</w:t>
      </w:r>
    </w:p>
    <w:p w:rsidR="00347B49" w:rsidRPr="00F80610" w:rsidRDefault="00F17D4A" w:rsidP="00F80610">
      <w:pPr>
        <w:pStyle w:val="Akapitzlist"/>
        <w:numPr>
          <w:ilvl w:val="0"/>
          <w:numId w:val="21"/>
        </w:numPr>
        <w:jc w:val="both"/>
        <w:rPr>
          <w:szCs w:val="24"/>
        </w:rPr>
      </w:pPr>
      <w:r w:rsidRPr="00F80610">
        <w:rPr>
          <w:szCs w:val="24"/>
        </w:rPr>
        <w:t xml:space="preserve">ust. 4 otrzymuje </w:t>
      </w:r>
      <w:r w:rsidR="00347B49" w:rsidRPr="00F80610">
        <w:rPr>
          <w:szCs w:val="24"/>
        </w:rPr>
        <w:t>brzmienie:</w:t>
      </w:r>
    </w:p>
    <w:p w:rsidR="00792047" w:rsidRPr="00F80610" w:rsidRDefault="00347B49" w:rsidP="00F80610">
      <w:pPr>
        <w:pStyle w:val="Akapitzlist"/>
        <w:ind w:left="0" w:firstLine="567"/>
        <w:jc w:val="both"/>
        <w:rPr>
          <w:szCs w:val="24"/>
        </w:rPr>
      </w:pPr>
      <w:r w:rsidRPr="00F80610">
        <w:rPr>
          <w:szCs w:val="24"/>
        </w:rPr>
        <w:t>„4. Wartość pojedynczego projektu składanego do puli lokalnej nie może być większa niż wysokość środków przypadających na okręg, którego dotyczy składany projekt i jednocześnie</w:t>
      </w:r>
      <w:r w:rsidR="004704B5" w:rsidRPr="00F80610">
        <w:rPr>
          <w:szCs w:val="24"/>
        </w:rPr>
        <w:t xml:space="preserve"> nie może przekraczać</w:t>
      </w:r>
      <w:r w:rsidR="00792047" w:rsidRPr="00F80610">
        <w:rPr>
          <w:szCs w:val="24"/>
        </w:rPr>
        <w:t>:</w:t>
      </w:r>
    </w:p>
    <w:p w:rsidR="00792047" w:rsidRPr="00F80610" w:rsidRDefault="00347B49" w:rsidP="00F80610">
      <w:pPr>
        <w:pStyle w:val="Akapitzlist"/>
        <w:numPr>
          <w:ilvl w:val="0"/>
          <w:numId w:val="19"/>
        </w:numPr>
        <w:jc w:val="both"/>
        <w:rPr>
          <w:szCs w:val="24"/>
        </w:rPr>
      </w:pPr>
      <w:r w:rsidRPr="00F80610">
        <w:rPr>
          <w:szCs w:val="24"/>
        </w:rPr>
        <w:t>kwoty 300 000 zł</w:t>
      </w:r>
      <w:r w:rsidR="00792047" w:rsidRPr="00F80610">
        <w:rPr>
          <w:szCs w:val="24"/>
        </w:rPr>
        <w:t xml:space="preserve"> dla projektów z zakresu inwestycji</w:t>
      </w:r>
      <w:r w:rsidR="00124D1D" w:rsidRPr="00F80610">
        <w:rPr>
          <w:szCs w:val="24"/>
        </w:rPr>
        <w:t xml:space="preserve">, </w:t>
      </w:r>
      <w:r w:rsidR="004704B5" w:rsidRPr="00F80610">
        <w:rPr>
          <w:szCs w:val="24"/>
        </w:rPr>
        <w:t>r</w:t>
      </w:r>
      <w:r w:rsidR="00792047" w:rsidRPr="00F80610">
        <w:rPr>
          <w:szCs w:val="24"/>
        </w:rPr>
        <w:t>emontów</w:t>
      </w:r>
      <w:r w:rsidR="00124D1D" w:rsidRPr="00F80610">
        <w:rPr>
          <w:szCs w:val="24"/>
        </w:rPr>
        <w:t xml:space="preserve"> </w:t>
      </w:r>
      <w:r w:rsidR="00792047" w:rsidRPr="00F80610">
        <w:rPr>
          <w:szCs w:val="24"/>
        </w:rPr>
        <w:t>lub urządzenia terenów zieleni;</w:t>
      </w:r>
    </w:p>
    <w:p w:rsidR="00792047" w:rsidRPr="00F80610" w:rsidRDefault="00792047" w:rsidP="00F80610">
      <w:pPr>
        <w:pStyle w:val="Akapitzlist"/>
        <w:numPr>
          <w:ilvl w:val="0"/>
          <w:numId w:val="19"/>
        </w:numPr>
        <w:jc w:val="both"/>
        <w:rPr>
          <w:szCs w:val="24"/>
        </w:rPr>
      </w:pPr>
      <w:r w:rsidRPr="00F80610">
        <w:rPr>
          <w:szCs w:val="24"/>
        </w:rPr>
        <w:t>kwoty 80 000 zł dla pozostałych projektów.</w:t>
      </w:r>
      <w:r w:rsidR="00E94C91" w:rsidRPr="00F80610">
        <w:rPr>
          <w:szCs w:val="24"/>
        </w:rPr>
        <w:t>”</w:t>
      </w:r>
    </w:p>
    <w:p w:rsidR="002C704F" w:rsidRPr="00F80610" w:rsidRDefault="00F17D4A" w:rsidP="00F80610">
      <w:pPr>
        <w:pStyle w:val="Akapitzlist"/>
        <w:numPr>
          <w:ilvl w:val="0"/>
          <w:numId w:val="21"/>
        </w:numPr>
        <w:ind w:hanging="447"/>
        <w:jc w:val="both"/>
        <w:rPr>
          <w:szCs w:val="24"/>
        </w:rPr>
      </w:pPr>
      <w:r w:rsidRPr="00F80610">
        <w:rPr>
          <w:szCs w:val="24"/>
        </w:rPr>
        <w:t xml:space="preserve">po ust. 4 dodaje się </w:t>
      </w:r>
      <w:r w:rsidR="002C704F" w:rsidRPr="00F80610">
        <w:rPr>
          <w:szCs w:val="24"/>
        </w:rPr>
        <w:t>ust. 5</w:t>
      </w:r>
      <w:r w:rsidR="00E94C91" w:rsidRPr="00F80610">
        <w:rPr>
          <w:szCs w:val="24"/>
        </w:rPr>
        <w:t xml:space="preserve"> i ust.</w:t>
      </w:r>
      <w:r w:rsidR="00642D23">
        <w:rPr>
          <w:szCs w:val="24"/>
        </w:rPr>
        <w:t xml:space="preserve"> </w:t>
      </w:r>
      <w:r w:rsidR="00E94C91" w:rsidRPr="00F80610">
        <w:rPr>
          <w:szCs w:val="24"/>
        </w:rPr>
        <w:t>6</w:t>
      </w:r>
      <w:r w:rsidR="002C704F" w:rsidRPr="00F80610">
        <w:rPr>
          <w:szCs w:val="24"/>
        </w:rPr>
        <w:t xml:space="preserve"> w brzmieniu:</w:t>
      </w:r>
    </w:p>
    <w:p w:rsidR="002C704F" w:rsidRPr="00F80610" w:rsidRDefault="00F80610" w:rsidP="00F80610">
      <w:pPr>
        <w:ind w:firstLine="567"/>
        <w:jc w:val="both"/>
        <w:rPr>
          <w:szCs w:val="24"/>
        </w:rPr>
      </w:pPr>
      <w:r>
        <w:rPr>
          <w:szCs w:val="24"/>
        </w:rPr>
        <w:t>„</w:t>
      </w:r>
      <w:r w:rsidR="00E94C91" w:rsidRPr="00F80610">
        <w:rPr>
          <w:szCs w:val="24"/>
        </w:rPr>
        <w:t>5.</w:t>
      </w:r>
      <w:r>
        <w:rPr>
          <w:szCs w:val="24"/>
        </w:rPr>
        <w:t xml:space="preserve"> </w:t>
      </w:r>
      <w:r w:rsidR="002C704F" w:rsidRPr="00F80610">
        <w:rPr>
          <w:szCs w:val="24"/>
        </w:rPr>
        <w:t>Jeżeli wartość projektu złożonego do puli lokalnej przekracza limit środków dostępnych w</w:t>
      </w:r>
      <w:r w:rsidR="00642D23">
        <w:rPr>
          <w:szCs w:val="24"/>
        </w:rPr>
        <w:t xml:space="preserve"> </w:t>
      </w:r>
      <w:r w:rsidR="002C704F" w:rsidRPr="00F80610">
        <w:rPr>
          <w:szCs w:val="24"/>
        </w:rPr>
        <w:t>okręgu, którego dotyczy projekt, Prezydent może</w:t>
      </w:r>
      <w:r w:rsidR="005B162A" w:rsidRPr="00F80610">
        <w:rPr>
          <w:szCs w:val="24"/>
        </w:rPr>
        <w:t xml:space="preserve"> na etapie weryfikacji </w:t>
      </w:r>
      <w:r w:rsidR="002C704F" w:rsidRPr="00F80610">
        <w:rPr>
          <w:szCs w:val="24"/>
        </w:rPr>
        <w:t xml:space="preserve">przenieść propozycję zadania do puli </w:t>
      </w:r>
      <w:proofErr w:type="spellStart"/>
      <w:r w:rsidR="002C704F" w:rsidRPr="00F80610">
        <w:rPr>
          <w:szCs w:val="24"/>
        </w:rPr>
        <w:t>ogólnomiejskiej</w:t>
      </w:r>
      <w:proofErr w:type="spellEnd"/>
      <w:r w:rsidR="002C704F" w:rsidRPr="00F80610">
        <w:rPr>
          <w:szCs w:val="24"/>
        </w:rPr>
        <w:t xml:space="preserve"> lub, po uzgodnieniu z wnioskodawcą, ograniczyć zakres merytoryczny projektu.</w:t>
      </w:r>
      <w:r w:rsidR="00E94C91" w:rsidRPr="00F80610">
        <w:rPr>
          <w:szCs w:val="24"/>
        </w:rPr>
        <w:t>”</w:t>
      </w:r>
    </w:p>
    <w:p w:rsidR="00E94C91" w:rsidRPr="00F80610" w:rsidRDefault="00E94C91" w:rsidP="00F80610">
      <w:pPr>
        <w:ind w:firstLine="567"/>
        <w:jc w:val="both"/>
        <w:rPr>
          <w:szCs w:val="24"/>
        </w:rPr>
      </w:pPr>
      <w:r w:rsidRPr="00F80610">
        <w:rPr>
          <w:szCs w:val="24"/>
        </w:rPr>
        <w:t>„6.</w:t>
      </w:r>
      <w:r w:rsidR="00F80610">
        <w:rPr>
          <w:szCs w:val="24"/>
        </w:rPr>
        <w:t xml:space="preserve"> </w:t>
      </w:r>
      <w:r w:rsidRPr="00F80610">
        <w:rPr>
          <w:szCs w:val="24"/>
        </w:rPr>
        <w:t>Dla określenia wartości projektu przyjmuje się wycenę ostateczną, o</w:t>
      </w:r>
      <w:r w:rsidR="00F80610">
        <w:rPr>
          <w:szCs w:val="24"/>
        </w:rPr>
        <w:t xml:space="preserve"> </w:t>
      </w:r>
      <w:r w:rsidRPr="00F80610">
        <w:rPr>
          <w:szCs w:val="24"/>
        </w:rPr>
        <w:t>której mowa w § 10 zdanie drugie.”</w:t>
      </w:r>
    </w:p>
    <w:p w:rsidR="002C704F" w:rsidRPr="00F80610" w:rsidRDefault="009D123D" w:rsidP="00F80610">
      <w:pPr>
        <w:pStyle w:val="Akapitzlist"/>
        <w:numPr>
          <w:ilvl w:val="0"/>
          <w:numId w:val="17"/>
        </w:numPr>
        <w:ind w:left="993" w:hanging="426"/>
        <w:jc w:val="both"/>
        <w:rPr>
          <w:szCs w:val="24"/>
        </w:rPr>
      </w:pPr>
      <w:r w:rsidRPr="00F80610">
        <w:rPr>
          <w:szCs w:val="24"/>
        </w:rPr>
        <w:t>w</w:t>
      </w:r>
      <w:r w:rsidR="002C704F" w:rsidRPr="00F80610">
        <w:rPr>
          <w:szCs w:val="24"/>
        </w:rPr>
        <w:t xml:space="preserve"> § 9 ust. 1 pkt 2 otrzymuje brzmienie:</w:t>
      </w:r>
    </w:p>
    <w:p w:rsidR="002C704F" w:rsidRPr="00F80610" w:rsidRDefault="002C704F" w:rsidP="00F80610">
      <w:pPr>
        <w:ind w:firstLine="567"/>
        <w:jc w:val="both"/>
        <w:rPr>
          <w:szCs w:val="24"/>
        </w:rPr>
      </w:pPr>
      <w:r w:rsidRPr="00F80610">
        <w:rPr>
          <w:szCs w:val="24"/>
        </w:rPr>
        <w:t>„2) wysokości środków przeznaczonych na budżet obywatelski, z podziałem na pulę lokalną</w:t>
      </w:r>
      <w:r w:rsidR="009D123D" w:rsidRPr="00F80610">
        <w:rPr>
          <w:szCs w:val="24"/>
        </w:rPr>
        <w:t xml:space="preserve"> </w:t>
      </w:r>
      <w:r w:rsidR="00185B36" w:rsidRPr="00F80610">
        <w:rPr>
          <w:szCs w:val="24"/>
        </w:rPr>
        <w:t xml:space="preserve">- zawierającą </w:t>
      </w:r>
      <w:r w:rsidR="009D123D" w:rsidRPr="00F80610">
        <w:rPr>
          <w:szCs w:val="24"/>
        </w:rPr>
        <w:t xml:space="preserve">środki przypadające na </w:t>
      </w:r>
      <w:r w:rsidRPr="00F80610">
        <w:rPr>
          <w:szCs w:val="24"/>
        </w:rPr>
        <w:t xml:space="preserve">poszczególne okręgi </w:t>
      </w:r>
      <w:r w:rsidR="00E94C91" w:rsidRPr="00F80610">
        <w:rPr>
          <w:szCs w:val="24"/>
        </w:rPr>
        <w:t>i</w:t>
      </w:r>
      <w:r w:rsidRPr="00F80610">
        <w:rPr>
          <w:szCs w:val="24"/>
        </w:rPr>
        <w:t xml:space="preserve"> pulę </w:t>
      </w:r>
      <w:proofErr w:type="spellStart"/>
      <w:r w:rsidRPr="00F80610">
        <w:rPr>
          <w:szCs w:val="24"/>
        </w:rPr>
        <w:t>ogólnomiejską</w:t>
      </w:r>
      <w:proofErr w:type="spellEnd"/>
      <w:r w:rsidR="0053744B" w:rsidRPr="00F80610">
        <w:rPr>
          <w:szCs w:val="24"/>
        </w:rPr>
        <w:t>;”</w:t>
      </w:r>
    </w:p>
    <w:p w:rsidR="0053744B" w:rsidRPr="00F80610" w:rsidRDefault="00185B36" w:rsidP="00F80610">
      <w:pPr>
        <w:pStyle w:val="Akapitzlist"/>
        <w:numPr>
          <w:ilvl w:val="0"/>
          <w:numId w:val="17"/>
        </w:numPr>
        <w:ind w:left="993" w:hanging="426"/>
        <w:jc w:val="both"/>
        <w:rPr>
          <w:szCs w:val="24"/>
        </w:rPr>
      </w:pPr>
      <w:r w:rsidRPr="00F80610">
        <w:rPr>
          <w:szCs w:val="24"/>
        </w:rPr>
        <w:t xml:space="preserve">w </w:t>
      </w:r>
      <w:r w:rsidR="0053744B" w:rsidRPr="00F80610">
        <w:rPr>
          <w:szCs w:val="24"/>
        </w:rPr>
        <w:t>§ 16</w:t>
      </w:r>
      <w:r w:rsidRPr="00F80610">
        <w:rPr>
          <w:szCs w:val="24"/>
        </w:rPr>
        <w:t xml:space="preserve"> ust. 1-3</w:t>
      </w:r>
      <w:r w:rsidR="0053744B" w:rsidRPr="00F80610">
        <w:rPr>
          <w:szCs w:val="24"/>
        </w:rPr>
        <w:t xml:space="preserve"> </w:t>
      </w:r>
      <w:r w:rsidRPr="00F80610">
        <w:rPr>
          <w:szCs w:val="24"/>
        </w:rPr>
        <w:t>otrzymują</w:t>
      </w:r>
      <w:r w:rsidR="009D123D" w:rsidRPr="00F80610">
        <w:rPr>
          <w:szCs w:val="24"/>
        </w:rPr>
        <w:t xml:space="preserve"> </w:t>
      </w:r>
      <w:r w:rsidR="0053744B" w:rsidRPr="00F80610">
        <w:rPr>
          <w:szCs w:val="24"/>
        </w:rPr>
        <w:t>brzmienie:</w:t>
      </w:r>
    </w:p>
    <w:p w:rsidR="00D27BE2" w:rsidRPr="00F80610" w:rsidRDefault="00D27BE2" w:rsidP="00F80610">
      <w:pPr>
        <w:pStyle w:val="Akapitzlist"/>
        <w:ind w:left="0" w:firstLine="567"/>
        <w:jc w:val="both"/>
        <w:rPr>
          <w:szCs w:val="24"/>
        </w:rPr>
      </w:pPr>
      <w:r w:rsidRPr="00F80610">
        <w:rPr>
          <w:szCs w:val="24"/>
        </w:rPr>
        <w:t>„1. W razie stwierdzenia podczas oceny merytorycznej, że złożony projekt nie zawiera istotnych informacji potrzebnych do analizy propozycji lub jego wartość przekracza dostępne środki finansowe, lub że zadanie objęte projektem nie może być zrealizowane we wskazanej lokalizacji, osoba składająca projekt zostanie niezwłocznie poinformowana, telefonicznie lub pocztą elektroniczną, o konieczności dokonania uzupełnień lub modyfikacji zakresu rzeczowego projektu.</w:t>
      </w:r>
    </w:p>
    <w:p w:rsidR="00D27BE2" w:rsidRPr="00F80610" w:rsidRDefault="00F80610" w:rsidP="00F80610">
      <w:pPr>
        <w:pStyle w:val="Akapitzlist"/>
        <w:ind w:left="0" w:firstLine="567"/>
        <w:jc w:val="both"/>
        <w:rPr>
          <w:szCs w:val="24"/>
        </w:rPr>
      </w:pPr>
      <w:r>
        <w:rPr>
          <w:szCs w:val="24"/>
        </w:rPr>
        <w:lastRenderedPageBreak/>
        <w:t xml:space="preserve">2. </w:t>
      </w:r>
      <w:r w:rsidR="009D123D" w:rsidRPr="00F80610">
        <w:rPr>
          <w:szCs w:val="24"/>
        </w:rPr>
        <w:t xml:space="preserve">Termin na dokonanie </w:t>
      </w:r>
      <w:r w:rsidR="00D27BE2" w:rsidRPr="00F80610">
        <w:rPr>
          <w:szCs w:val="24"/>
        </w:rPr>
        <w:t>uzupełnień lub modyfikacji zakresu rzeczowego</w:t>
      </w:r>
      <w:r w:rsidR="009D123D" w:rsidRPr="00F80610">
        <w:rPr>
          <w:szCs w:val="24"/>
        </w:rPr>
        <w:t xml:space="preserve"> </w:t>
      </w:r>
      <w:r w:rsidR="00866536" w:rsidRPr="00F80610">
        <w:rPr>
          <w:szCs w:val="24"/>
        </w:rPr>
        <w:t xml:space="preserve">projektu </w:t>
      </w:r>
      <w:r w:rsidR="009D123D" w:rsidRPr="00F80610">
        <w:rPr>
          <w:szCs w:val="24"/>
        </w:rPr>
        <w:t xml:space="preserve">wynosi do </w:t>
      </w:r>
      <w:r w:rsidR="00D27BE2" w:rsidRPr="00F80610">
        <w:rPr>
          <w:szCs w:val="24"/>
        </w:rPr>
        <w:t>5 dni roboczych</w:t>
      </w:r>
      <w:r w:rsidR="009D123D" w:rsidRPr="00F80610">
        <w:rPr>
          <w:szCs w:val="24"/>
        </w:rPr>
        <w:t xml:space="preserve"> od</w:t>
      </w:r>
      <w:r w:rsidR="00185B36" w:rsidRPr="00F80610">
        <w:rPr>
          <w:szCs w:val="24"/>
        </w:rPr>
        <w:t xml:space="preserve"> dnia </w:t>
      </w:r>
      <w:r w:rsidR="009D123D" w:rsidRPr="00F80610">
        <w:rPr>
          <w:szCs w:val="24"/>
        </w:rPr>
        <w:t>zawiadomienia autora wniosku</w:t>
      </w:r>
      <w:r w:rsidR="00866536" w:rsidRPr="00F80610">
        <w:rPr>
          <w:szCs w:val="24"/>
        </w:rPr>
        <w:t xml:space="preserve"> o potrzebie ich dokonania. Zmiana </w:t>
      </w:r>
      <w:r w:rsidR="00D27BE2" w:rsidRPr="00F80610">
        <w:rPr>
          <w:szCs w:val="24"/>
        </w:rPr>
        <w:t>lokalizacji dla projektów lokalnych jest możliwa w granicach okręgu, którego dotyczy projekt.</w:t>
      </w:r>
    </w:p>
    <w:p w:rsidR="00D27BE2" w:rsidRPr="00F80610" w:rsidRDefault="00D27BE2" w:rsidP="00F80610">
      <w:pPr>
        <w:pStyle w:val="Akapitzlist"/>
        <w:ind w:left="0" w:firstLine="567"/>
        <w:jc w:val="both"/>
        <w:rPr>
          <w:szCs w:val="24"/>
        </w:rPr>
      </w:pPr>
      <w:r w:rsidRPr="00F80610">
        <w:rPr>
          <w:szCs w:val="24"/>
        </w:rPr>
        <w:t>3.</w:t>
      </w:r>
      <w:r w:rsidR="00F80610">
        <w:rPr>
          <w:szCs w:val="24"/>
        </w:rPr>
        <w:t xml:space="preserve"> </w:t>
      </w:r>
      <w:r w:rsidRPr="00F80610">
        <w:rPr>
          <w:szCs w:val="24"/>
        </w:rPr>
        <w:t xml:space="preserve">Modyfikacja projektu w trakcie oceny merytorycznej </w:t>
      </w:r>
      <w:r w:rsidR="00866536" w:rsidRPr="00F80610">
        <w:rPr>
          <w:szCs w:val="24"/>
        </w:rPr>
        <w:t xml:space="preserve">następuje w uzgodnieniu </w:t>
      </w:r>
      <w:r w:rsidRPr="00F80610">
        <w:rPr>
          <w:szCs w:val="24"/>
        </w:rPr>
        <w:t>z wnioskodawcą.”</w:t>
      </w:r>
    </w:p>
    <w:p w:rsidR="00D27BE2" w:rsidRPr="00F80610" w:rsidRDefault="00D27BE2" w:rsidP="00F80610">
      <w:pPr>
        <w:pStyle w:val="Akapitzlist"/>
        <w:numPr>
          <w:ilvl w:val="0"/>
          <w:numId w:val="17"/>
        </w:numPr>
        <w:ind w:left="993" w:hanging="426"/>
        <w:jc w:val="both"/>
        <w:rPr>
          <w:szCs w:val="24"/>
        </w:rPr>
      </w:pPr>
      <w:r w:rsidRPr="00F80610">
        <w:rPr>
          <w:szCs w:val="24"/>
        </w:rPr>
        <w:t>§</w:t>
      </w:r>
      <w:r w:rsidR="00866536" w:rsidRPr="00F80610">
        <w:rPr>
          <w:szCs w:val="24"/>
        </w:rPr>
        <w:t> </w:t>
      </w:r>
      <w:r w:rsidRPr="00F80610">
        <w:rPr>
          <w:szCs w:val="24"/>
        </w:rPr>
        <w:t>17</w:t>
      </w:r>
      <w:r w:rsidR="00866536" w:rsidRPr="00F80610">
        <w:rPr>
          <w:szCs w:val="24"/>
        </w:rPr>
        <w:t xml:space="preserve"> otrzymuje brzmienie:</w:t>
      </w:r>
    </w:p>
    <w:p w:rsidR="00866536" w:rsidRPr="00F80610" w:rsidRDefault="00866536" w:rsidP="00F80610">
      <w:pPr>
        <w:ind w:firstLine="993"/>
        <w:jc w:val="both"/>
        <w:rPr>
          <w:szCs w:val="24"/>
        </w:rPr>
      </w:pPr>
      <w:r w:rsidRPr="00F80610">
        <w:rPr>
          <w:szCs w:val="24"/>
        </w:rPr>
        <w:t>„</w:t>
      </w:r>
      <w:r w:rsidR="009751AD" w:rsidRPr="00F80610">
        <w:rPr>
          <w:szCs w:val="24"/>
        </w:rPr>
        <w:t xml:space="preserve">§ 17. W przypadku zgłoszenia dwóch lub więcej projektów o podobnym zakresie przedmiotowym lub planowanych na tym samym terenie, dopuszcza się możliwość ich połączenia </w:t>
      </w:r>
      <w:r w:rsidR="00185B36" w:rsidRPr="00F80610">
        <w:rPr>
          <w:szCs w:val="24"/>
        </w:rPr>
        <w:t xml:space="preserve">i </w:t>
      </w:r>
      <w:r w:rsidR="009751AD" w:rsidRPr="00F80610">
        <w:rPr>
          <w:szCs w:val="24"/>
        </w:rPr>
        <w:t>poddania pod głosowanie jako jedno zadanie, po dokonaniu uzgodnień z</w:t>
      </w:r>
      <w:r w:rsidR="00B42094">
        <w:rPr>
          <w:szCs w:val="24"/>
        </w:rPr>
        <w:t xml:space="preserve"> </w:t>
      </w:r>
      <w:r w:rsidR="009751AD" w:rsidRPr="00F80610">
        <w:rPr>
          <w:szCs w:val="24"/>
        </w:rPr>
        <w:t>autorami tych projektów.”</w:t>
      </w:r>
    </w:p>
    <w:p w:rsidR="00D27BE2" w:rsidRPr="00F80610" w:rsidRDefault="00664AE0" w:rsidP="00F80610">
      <w:pPr>
        <w:pStyle w:val="Akapitzlist"/>
        <w:numPr>
          <w:ilvl w:val="0"/>
          <w:numId w:val="17"/>
        </w:numPr>
        <w:ind w:left="993" w:hanging="426"/>
        <w:jc w:val="both"/>
        <w:rPr>
          <w:szCs w:val="24"/>
        </w:rPr>
      </w:pPr>
      <w:r w:rsidRPr="00F80610">
        <w:rPr>
          <w:szCs w:val="24"/>
        </w:rPr>
        <w:t>§ 33 otrzymuje brzmienie:</w:t>
      </w:r>
    </w:p>
    <w:p w:rsidR="00664AE0" w:rsidRPr="00F80610" w:rsidRDefault="00664AE0" w:rsidP="00F80610">
      <w:pPr>
        <w:pStyle w:val="Akapitzlist"/>
        <w:ind w:left="0" w:firstLine="993"/>
        <w:jc w:val="both"/>
        <w:rPr>
          <w:szCs w:val="24"/>
        </w:rPr>
      </w:pPr>
      <w:r w:rsidRPr="00F80610">
        <w:rPr>
          <w:szCs w:val="24"/>
        </w:rPr>
        <w:t>„§ 33</w:t>
      </w:r>
      <w:r w:rsidR="009B36AF" w:rsidRPr="00F80610">
        <w:rPr>
          <w:szCs w:val="24"/>
        </w:rPr>
        <w:t>.</w:t>
      </w:r>
      <w:r w:rsidRPr="00F80610">
        <w:rPr>
          <w:szCs w:val="24"/>
        </w:rPr>
        <w:t> Jeżeli w toku realizacji projektów poczynione zostaną oszczędności Prezydent może przeznaczyć zaoszczędzoną kwotę na:</w:t>
      </w:r>
    </w:p>
    <w:p w:rsidR="00664AE0" w:rsidRPr="00F80610" w:rsidRDefault="00664AE0" w:rsidP="00F80610">
      <w:pPr>
        <w:pStyle w:val="Akapitzlist"/>
        <w:numPr>
          <w:ilvl w:val="0"/>
          <w:numId w:val="13"/>
        </w:numPr>
        <w:ind w:left="1134" w:hanging="414"/>
        <w:jc w:val="both"/>
        <w:rPr>
          <w:szCs w:val="24"/>
        </w:rPr>
      </w:pPr>
      <w:r w:rsidRPr="00F80610">
        <w:rPr>
          <w:szCs w:val="24"/>
        </w:rPr>
        <w:t>zwiększenie wydatków na inne projekty wybrane do realizacji w ramach danej puli środków, o ile rzeczywiste koszty wykonania będą wyższe niż planowano;</w:t>
      </w:r>
    </w:p>
    <w:p w:rsidR="00664AE0" w:rsidRPr="00F80610" w:rsidRDefault="00664AE0" w:rsidP="00F80610">
      <w:pPr>
        <w:pStyle w:val="Akapitzlist"/>
        <w:numPr>
          <w:ilvl w:val="0"/>
          <w:numId w:val="13"/>
        </w:numPr>
        <w:ind w:left="1134" w:hanging="414"/>
        <w:jc w:val="both"/>
        <w:rPr>
          <w:szCs w:val="24"/>
        </w:rPr>
      </w:pPr>
      <w:r w:rsidRPr="00F80610">
        <w:rPr>
          <w:szCs w:val="24"/>
        </w:rPr>
        <w:t xml:space="preserve">realizację kolejnych projektów z właściwej listy, które zdobyły największą liczbę głosów spośród </w:t>
      </w:r>
      <w:r w:rsidR="009751AD" w:rsidRPr="00F80610">
        <w:rPr>
          <w:szCs w:val="24"/>
        </w:rPr>
        <w:t xml:space="preserve">projektów </w:t>
      </w:r>
      <w:r w:rsidRPr="00F80610">
        <w:rPr>
          <w:szCs w:val="24"/>
        </w:rPr>
        <w:t>niezakwalifikowanych, o</w:t>
      </w:r>
      <w:r w:rsidR="00B06617" w:rsidRPr="00F80610">
        <w:rPr>
          <w:szCs w:val="24"/>
        </w:rPr>
        <w:t> </w:t>
      </w:r>
      <w:r w:rsidRPr="00F80610">
        <w:rPr>
          <w:szCs w:val="24"/>
        </w:rPr>
        <w:t>ile zaoszczędzona kwota będzie wystarczająca</w:t>
      </w:r>
      <w:r w:rsidR="009751AD" w:rsidRPr="00F80610">
        <w:rPr>
          <w:szCs w:val="24"/>
        </w:rPr>
        <w:t xml:space="preserve"> do ich realizacji</w:t>
      </w:r>
      <w:r w:rsidR="009B36AF" w:rsidRPr="00F80610">
        <w:rPr>
          <w:szCs w:val="24"/>
        </w:rPr>
        <w:t>.”</w:t>
      </w:r>
    </w:p>
    <w:p w:rsidR="00552F80" w:rsidRPr="00F80610" w:rsidRDefault="00552F80" w:rsidP="00F80610">
      <w:pPr>
        <w:ind w:firstLine="567"/>
        <w:jc w:val="both"/>
        <w:rPr>
          <w:szCs w:val="24"/>
        </w:rPr>
      </w:pPr>
    </w:p>
    <w:p w:rsidR="00A95D3B" w:rsidRPr="00F80610" w:rsidRDefault="0041152E" w:rsidP="00F80610">
      <w:pPr>
        <w:ind w:firstLine="567"/>
        <w:jc w:val="both"/>
        <w:rPr>
          <w:szCs w:val="24"/>
        </w:rPr>
      </w:pPr>
      <w:r w:rsidRPr="00F80610">
        <w:rPr>
          <w:szCs w:val="24"/>
        </w:rPr>
        <w:t>§ 3. W załączniku nr 1 do Regulaminu ko</w:t>
      </w:r>
      <w:r w:rsidR="00A95D3B" w:rsidRPr="00F80610">
        <w:rPr>
          <w:szCs w:val="24"/>
        </w:rPr>
        <w:t>nsultacji społecznych w Toruniu:</w:t>
      </w:r>
    </w:p>
    <w:p w:rsidR="00367E9F" w:rsidRPr="00F80610" w:rsidRDefault="0041152E" w:rsidP="00B42094">
      <w:pPr>
        <w:pStyle w:val="Akapitzlist"/>
        <w:numPr>
          <w:ilvl w:val="0"/>
          <w:numId w:val="18"/>
        </w:numPr>
        <w:ind w:left="1560" w:hanging="567"/>
        <w:jc w:val="both"/>
        <w:rPr>
          <w:szCs w:val="24"/>
        </w:rPr>
      </w:pPr>
      <w:r w:rsidRPr="00F80610">
        <w:rPr>
          <w:szCs w:val="24"/>
        </w:rPr>
        <w:t>w sekcji „A - wniosk</w:t>
      </w:r>
      <w:r w:rsidR="00A95D3B" w:rsidRPr="00F80610">
        <w:rPr>
          <w:szCs w:val="24"/>
        </w:rPr>
        <w:t>odawca” wykreśla się pole PESEL;</w:t>
      </w:r>
    </w:p>
    <w:p w:rsidR="00A95D3B" w:rsidRPr="00F80610" w:rsidRDefault="00A95D3B" w:rsidP="00B42094">
      <w:pPr>
        <w:pStyle w:val="Akapitzlist"/>
        <w:numPr>
          <w:ilvl w:val="0"/>
          <w:numId w:val="18"/>
        </w:numPr>
        <w:ind w:left="1560" w:hanging="567"/>
        <w:jc w:val="both"/>
        <w:rPr>
          <w:szCs w:val="24"/>
        </w:rPr>
      </w:pPr>
      <w:r w:rsidRPr="00F80610">
        <w:rPr>
          <w:szCs w:val="24"/>
        </w:rPr>
        <w:t>w sekcji „J - Klauzula informacyjna”, w akapicie „Jakie dane zbieramy” wykreśla się słowa „nr PESEL,”</w:t>
      </w:r>
    </w:p>
    <w:p w:rsidR="00367E9F" w:rsidRPr="00F80610" w:rsidRDefault="00367E9F" w:rsidP="00F80610">
      <w:pPr>
        <w:ind w:firstLine="567"/>
        <w:jc w:val="both"/>
        <w:rPr>
          <w:szCs w:val="24"/>
        </w:rPr>
      </w:pPr>
    </w:p>
    <w:p w:rsidR="00552F80" w:rsidRPr="00F80610" w:rsidRDefault="00552F80" w:rsidP="00F80610">
      <w:pPr>
        <w:ind w:firstLine="567"/>
        <w:jc w:val="both"/>
        <w:rPr>
          <w:szCs w:val="24"/>
        </w:rPr>
      </w:pPr>
      <w:r w:rsidRPr="00F80610">
        <w:rPr>
          <w:szCs w:val="24"/>
        </w:rPr>
        <w:t xml:space="preserve">§ </w:t>
      </w:r>
      <w:r w:rsidR="0041152E" w:rsidRPr="00F80610">
        <w:rPr>
          <w:szCs w:val="24"/>
        </w:rPr>
        <w:t>4</w:t>
      </w:r>
      <w:r w:rsidRPr="00F80610">
        <w:rPr>
          <w:szCs w:val="24"/>
        </w:rPr>
        <w:t>.</w:t>
      </w:r>
      <w:r w:rsidR="00642D23">
        <w:rPr>
          <w:szCs w:val="24"/>
        </w:rPr>
        <w:t xml:space="preserve"> </w:t>
      </w:r>
      <w:r w:rsidRPr="00F80610">
        <w:rPr>
          <w:szCs w:val="24"/>
        </w:rPr>
        <w:t>Wykonanie uchwały powierza się Prezydentowi Miasta Torunia.</w:t>
      </w:r>
    </w:p>
    <w:p w:rsidR="00552F80" w:rsidRPr="00F80610" w:rsidRDefault="00552F80" w:rsidP="00F80610">
      <w:pPr>
        <w:ind w:firstLine="567"/>
        <w:jc w:val="both"/>
        <w:rPr>
          <w:szCs w:val="24"/>
        </w:rPr>
      </w:pPr>
    </w:p>
    <w:p w:rsidR="00552F80" w:rsidRPr="00F80610" w:rsidRDefault="00552F80" w:rsidP="00F80610">
      <w:pPr>
        <w:ind w:firstLine="567"/>
        <w:jc w:val="both"/>
        <w:rPr>
          <w:szCs w:val="24"/>
        </w:rPr>
      </w:pPr>
      <w:r w:rsidRPr="00F80610">
        <w:rPr>
          <w:szCs w:val="24"/>
        </w:rPr>
        <w:t>§</w:t>
      </w:r>
      <w:r w:rsidR="00642D23">
        <w:rPr>
          <w:szCs w:val="24"/>
        </w:rPr>
        <w:t xml:space="preserve"> </w:t>
      </w:r>
      <w:r w:rsidR="0041152E" w:rsidRPr="00F80610">
        <w:rPr>
          <w:szCs w:val="24"/>
        </w:rPr>
        <w:t>5</w:t>
      </w:r>
      <w:r w:rsidRPr="00F80610">
        <w:rPr>
          <w:szCs w:val="24"/>
        </w:rPr>
        <w:t>.</w:t>
      </w:r>
      <w:r w:rsidR="00642D23">
        <w:rPr>
          <w:szCs w:val="24"/>
        </w:rPr>
        <w:t xml:space="preserve"> </w:t>
      </w:r>
      <w:r w:rsidRPr="00F80610">
        <w:rPr>
          <w:szCs w:val="24"/>
        </w:rPr>
        <w:t>Uchwała wchodzi w życie po upływie 14 dni od dnia ogłoszenia w Dzienniku Urzędowym Województwa Kujawsko-Pomorskiego.</w:t>
      </w:r>
    </w:p>
    <w:p w:rsidR="00552F80" w:rsidRPr="00F80610" w:rsidRDefault="00552F80" w:rsidP="00F80610">
      <w:pPr>
        <w:ind w:firstLine="567"/>
        <w:jc w:val="both"/>
        <w:rPr>
          <w:szCs w:val="24"/>
        </w:rPr>
      </w:pPr>
    </w:p>
    <w:p w:rsidR="009760A7" w:rsidRDefault="009760A7" w:rsidP="00F80610">
      <w:pPr>
        <w:ind w:firstLine="567"/>
        <w:jc w:val="both"/>
        <w:rPr>
          <w:szCs w:val="24"/>
        </w:rPr>
      </w:pPr>
    </w:p>
    <w:p w:rsidR="00B42094" w:rsidRPr="00F80610" w:rsidRDefault="00B42094" w:rsidP="00F80610">
      <w:pPr>
        <w:ind w:firstLine="567"/>
        <w:jc w:val="both"/>
        <w:rPr>
          <w:szCs w:val="24"/>
        </w:rPr>
      </w:pPr>
    </w:p>
    <w:p w:rsidR="00F40156" w:rsidRPr="00F80610" w:rsidRDefault="00F40156" w:rsidP="00F80610">
      <w:pPr>
        <w:ind w:firstLine="3402"/>
        <w:jc w:val="center"/>
        <w:rPr>
          <w:szCs w:val="24"/>
        </w:rPr>
      </w:pPr>
    </w:p>
    <w:p w:rsidR="00552F80" w:rsidRPr="00F80610" w:rsidRDefault="00552F80" w:rsidP="00F80610">
      <w:pPr>
        <w:ind w:firstLine="3402"/>
        <w:jc w:val="center"/>
        <w:rPr>
          <w:szCs w:val="24"/>
        </w:rPr>
      </w:pPr>
      <w:r w:rsidRPr="00F80610">
        <w:rPr>
          <w:szCs w:val="24"/>
        </w:rPr>
        <w:t>Przewodniczący</w:t>
      </w:r>
    </w:p>
    <w:p w:rsidR="00552F80" w:rsidRPr="00F80610" w:rsidRDefault="00552F80" w:rsidP="00F80610">
      <w:pPr>
        <w:ind w:firstLine="3402"/>
        <w:jc w:val="center"/>
        <w:rPr>
          <w:szCs w:val="24"/>
        </w:rPr>
      </w:pPr>
      <w:r w:rsidRPr="00F80610">
        <w:rPr>
          <w:szCs w:val="24"/>
        </w:rPr>
        <w:t>Rady Miasta Torunia</w:t>
      </w:r>
    </w:p>
    <w:p w:rsidR="00552F80" w:rsidRPr="00F80610" w:rsidRDefault="005A10B3" w:rsidP="00F80610">
      <w:pPr>
        <w:ind w:firstLine="3402"/>
        <w:jc w:val="center"/>
        <w:rPr>
          <w:szCs w:val="24"/>
        </w:rPr>
      </w:pPr>
      <w:r>
        <w:rPr>
          <w:szCs w:val="24"/>
        </w:rPr>
        <w:t>/-/</w:t>
      </w:r>
      <w:bookmarkStart w:id="0" w:name="_GoBack"/>
      <w:bookmarkEnd w:id="0"/>
      <w:r w:rsidR="00552F80" w:rsidRPr="00F80610">
        <w:rPr>
          <w:szCs w:val="24"/>
        </w:rPr>
        <w:t>Marcin Czyżniewski</w:t>
      </w:r>
    </w:p>
    <w:sectPr w:rsidR="00552F80" w:rsidRPr="00F80610" w:rsidSect="00D00B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DD" w:rsidRDefault="00841BDD" w:rsidP="00552F80">
      <w:r>
        <w:separator/>
      </w:r>
    </w:p>
  </w:endnote>
  <w:endnote w:type="continuationSeparator" w:id="0">
    <w:p w:rsidR="00841BDD" w:rsidRDefault="00841BDD" w:rsidP="0055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DD" w:rsidRDefault="00841BDD" w:rsidP="00552F80">
      <w:r>
        <w:separator/>
      </w:r>
    </w:p>
  </w:footnote>
  <w:footnote w:type="continuationSeparator" w:id="0">
    <w:p w:rsidR="00841BDD" w:rsidRDefault="00841BDD" w:rsidP="00552F80">
      <w:r>
        <w:continuationSeparator/>
      </w:r>
    </w:p>
  </w:footnote>
  <w:footnote w:id="1">
    <w:p w:rsidR="00552F80" w:rsidRDefault="00552F80" w:rsidP="00552F80">
      <w:r>
        <w:rPr>
          <w:rStyle w:val="Odwoanieprzypisudolnego"/>
        </w:rPr>
        <w:footnoteRef/>
      </w:r>
      <w:r>
        <w:t xml:space="preserve"> </w:t>
      </w:r>
      <w:r w:rsidRPr="00E153C1">
        <w:rPr>
          <w:sz w:val="20"/>
          <w:szCs w:val="20"/>
        </w:rPr>
        <w:t>Zmiany wymienionej</w:t>
      </w:r>
      <w:r w:rsidRPr="008F5C50">
        <w:rPr>
          <w:sz w:val="20"/>
          <w:szCs w:val="20"/>
        </w:rPr>
        <w:t xml:space="preserve"> </w:t>
      </w:r>
      <w:r>
        <w:rPr>
          <w:sz w:val="20"/>
          <w:szCs w:val="20"/>
        </w:rPr>
        <w:t>ustawy zostały ogłoszone w Dz.U. z 2020</w:t>
      </w:r>
      <w:r w:rsidRPr="00E153C1">
        <w:rPr>
          <w:sz w:val="20"/>
          <w:szCs w:val="20"/>
        </w:rPr>
        <w:t xml:space="preserve"> r. </w:t>
      </w:r>
      <w:r>
        <w:rPr>
          <w:sz w:val="20"/>
          <w:szCs w:val="20"/>
        </w:rPr>
        <w:t xml:space="preserve">poz. </w:t>
      </w:r>
      <w:r w:rsidRPr="0075371D">
        <w:rPr>
          <w:sz w:val="20"/>
          <w:szCs w:val="20"/>
        </w:rPr>
        <w:t>13</w:t>
      </w:r>
      <w:r>
        <w:rPr>
          <w:sz w:val="20"/>
          <w:szCs w:val="20"/>
        </w:rPr>
        <w:t>78</w:t>
      </w:r>
      <w:r w:rsidRPr="00E153C1">
        <w:rPr>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Symbol" w:hAnsi="Symbol" w:cs="OpenSymbol"/>
      </w:rPr>
    </w:lvl>
  </w:abstractNum>
  <w:abstractNum w:abstractNumId="1" w15:restartNumberingAfterBreak="0">
    <w:nsid w:val="037D0CE0"/>
    <w:multiLevelType w:val="hybridMultilevel"/>
    <w:tmpl w:val="16C25196"/>
    <w:lvl w:ilvl="0" w:tplc="CF7C5E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461243E"/>
    <w:multiLevelType w:val="hybridMultilevel"/>
    <w:tmpl w:val="B3F090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287509"/>
    <w:multiLevelType w:val="hybridMultilevel"/>
    <w:tmpl w:val="EA7C47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0B09B0"/>
    <w:multiLevelType w:val="hybridMultilevel"/>
    <w:tmpl w:val="3C20ECC8"/>
    <w:lvl w:ilvl="0" w:tplc="55C6E4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DE6C87"/>
    <w:multiLevelType w:val="hybridMultilevel"/>
    <w:tmpl w:val="7BBA0D0A"/>
    <w:lvl w:ilvl="0" w:tplc="29AAB1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27184"/>
    <w:multiLevelType w:val="hybridMultilevel"/>
    <w:tmpl w:val="3B72F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12E9F"/>
    <w:multiLevelType w:val="hybridMultilevel"/>
    <w:tmpl w:val="3F0AD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EF6D98"/>
    <w:multiLevelType w:val="hybridMultilevel"/>
    <w:tmpl w:val="AFAA9D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20261"/>
    <w:multiLevelType w:val="hybridMultilevel"/>
    <w:tmpl w:val="7EC24386"/>
    <w:lvl w:ilvl="0" w:tplc="988251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B02C37"/>
    <w:multiLevelType w:val="hybridMultilevel"/>
    <w:tmpl w:val="7988BC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54524A"/>
    <w:multiLevelType w:val="hybridMultilevel"/>
    <w:tmpl w:val="BA189B0A"/>
    <w:lvl w:ilvl="0" w:tplc="9064AD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B1E4BC2"/>
    <w:multiLevelType w:val="hybridMultilevel"/>
    <w:tmpl w:val="EB469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41B80"/>
    <w:multiLevelType w:val="hybridMultilevel"/>
    <w:tmpl w:val="FE943AA4"/>
    <w:lvl w:ilvl="0" w:tplc="F48A18D0">
      <w:start w:val="1"/>
      <w:numFmt w:val="decimal"/>
      <w:lvlText w:val="%1)"/>
      <w:lvlJc w:val="left"/>
      <w:pPr>
        <w:ind w:left="1210" w:hanging="360"/>
      </w:pPr>
      <w:rPr>
        <w:rFonts w:ascii="Times New Roman" w:eastAsia="Calibri" w:hAnsi="Times New Roman" w:cs="Times New Roman"/>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 w15:restartNumberingAfterBreak="0">
    <w:nsid w:val="69397B56"/>
    <w:multiLevelType w:val="hybridMultilevel"/>
    <w:tmpl w:val="A18CEE8A"/>
    <w:lvl w:ilvl="0" w:tplc="A3069A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AF44F7D"/>
    <w:multiLevelType w:val="hybridMultilevel"/>
    <w:tmpl w:val="73760FB0"/>
    <w:lvl w:ilvl="0" w:tplc="CD3281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0E6680E"/>
    <w:multiLevelType w:val="hybridMultilevel"/>
    <w:tmpl w:val="638661F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F0311F"/>
    <w:multiLevelType w:val="hybridMultilevel"/>
    <w:tmpl w:val="A3FC8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5357C1"/>
    <w:multiLevelType w:val="hybridMultilevel"/>
    <w:tmpl w:val="7F9ACAAA"/>
    <w:lvl w:ilvl="0" w:tplc="049075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9656460"/>
    <w:multiLevelType w:val="hybridMultilevel"/>
    <w:tmpl w:val="3B72F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5053B"/>
    <w:multiLevelType w:val="hybridMultilevel"/>
    <w:tmpl w:val="08142592"/>
    <w:lvl w:ilvl="0" w:tplc="29AAB1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0"/>
  </w:num>
  <w:num w:numId="3">
    <w:abstractNumId w:val="10"/>
  </w:num>
  <w:num w:numId="4">
    <w:abstractNumId w:val="13"/>
  </w:num>
  <w:num w:numId="5">
    <w:abstractNumId w:val="8"/>
  </w:num>
  <w:num w:numId="6">
    <w:abstractNumId w:val="3"/>
  </w:num>
  <w:num w:numId="7">
    <w:abstractNumId w:val="20"/>
  </w:num>
  <w:num w:numId="8">
    <w:abstractNumId w:val="5"/>
  </w:num>
  <w:num w:numId="9">
    <w:abstractNumId w:val="7"/>
  </w:num>
  <w:num w:numId="10">
    <w:abstractNumId w:val="19"/>
  </w:num>
  <w:num w:numId="11">
    <w:abstractNumId w:val="6"/>
  </w:num>
  <w:num w:numId="12">
    <w:abstractNumId w:val="2"/>
  </w:num>
  <w:num w:numId="13">
    <w:abstractNumId w:val="4"/>
  </w:num>
  <w:num w:numId="14">
    <w:abstractNumId w:val="14"/>
  </w:num>
  <w:num w:numId="15">
    <w:abstractNumId w:val="11"/>
  </w:num>
  <w:num w:numId="16">
    <w:abstractNumId w:val="9"/>
  </w:num>
  <w:num w:numId="17">
    <w:abstractNumId w:val="12"/>
  </w:num>
  <w:num w:numId="18">
    <w:abstractNumId w:val="16"/>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80"/>
    <w:rsid w:val="00096BB6"/>
    <w:rsid w:val="000A6D2D"/>
    <w:rsid w:val="000E3BC1"/>
    <w:rsid w:val="00124D1D"/>
    <w:rsid w:val="00126E7E"/>
    <w:rsid w:val="00185B36"/>
    <w:rsid w:val="001868D4"/>
    <w:rsid w:val="001A4B7C"/>
    <w:rsid w:val="00242638"/>
    <w:rsid w:val="00280C6B"/>
    <w:rsid w:val="002C704F"/>
    <w:rsid w:val="00313133"/>
    <w:rsid w:val="00343231"/>
    <w:rsid w:val="00347B49"/>
    <w:rsid w:val="00347DED"/>
    <w:rsid w:val="00367E9F"/>
    <w:rsid w:val="003951DB"/>
    <w:rsid w:val="003B6B57"/>
    <w:rsid w:val="003D2862"/>
    <w:rsid w:val="0041152E"/>
    <w:rsid w:val="0047012B"/>
    <w:rsid w:val="004704B5"/>
    <w:rsid w:val="00483430"/>
    <w:rsid w:val="004859A8"/>
    <w:rsid w:val="00503B59"/>
    <w:rsid w:val="00513F2B"/>
    <w:rsid w:val="005331D0"/>
    <w:rsid w:val="0053744B"/>
    <w:rsid w:val="00552F80"/>
    <w:rsid w:val="00575EC1"/>
    <w:rsid w:val="00597888"/>
    <w:rsid w:val="005A10B3"/>
    <w:rsid w:val="005B162A"/>
    <w:rsid w:val="005F60BC"/>
    <w:rsid w:val="00614EA6"/>
    <w:rsid w:val="00623CBF"/>
    <w:rsid w:val="00636AF3"/>
    <w:rsid w:val="00642D23"/>
    <w:rsid w:val="00664AE0"/>
    <w:rsid w:val="006A3CE6"/>
    <w:rsid w:val="00700D8F"/>
    <w:rsid w:val="00711E01"/>
    <w:rsid w:val="00751B25"/>
    <w:rsid w:val="00760455"/>
    <w:rsid w:val="00771B32"/>
    <w:rsid w:val="00792047"/>
    <w:rsid w:val="008412D4"/>
    <w:rsid w:val="00841BDD"/>
    <w:rsid w:val="00866536"/>
    <w:rsid w:val="008F1DCA"/>
    <w:rsid w:val="008F5D08"/>
    <w:rsid w:val="009751AD"/>
    <w:rsid w:val="00975953"/>
    <w:rsid w:val="009760A7"/>
    <w:rsid w:val="009B36AF"/>
    <w:rsid w:val="009B71B6"/>
    <w:rsid w:val="009D123D"/>
    <w:rsid w:val="00A05958"/>
    <w:rsid w:val="00A0709F"/>
    <w:rsid w:val="00A157F5"/>
    <w:rsid w:val="00A21FB4"/>
    <w:rsid w:val="00A258F5"/>
    <w:rsid w:val="00A82E7D"/>
    <w:rsid w:val="00A95D3B"/>
    <w:rsid w:val="00AB3136"/>
    <w:rsid w:val="00B06617"/>
    <w:rsid w:val="00B07732"/>
    <w:rsid w:val="00B11A1C"/>
    <w:rsid w:val="00B366A0"/>
    <w:rsid w:val="00B42094"/>
    <w:rsid w:val="00BB3067"/>
    <w:rsid w:val="00BD3173"/>
    <w:rsid w:val="00C27C3A"/>
    <w:rsid w:val="00CA2976"/>
    <w:rsid w:val="00CC4586"/>
    <w:rsid w:val="00CD0172"/>
    <w:rsid w:val="00CF484B"/>
    <w:rsid w:val="00CF52A1"/>
    <w:rsid w:val="00D00B13"/>
    <w:rsid w:val="00D27BE2"/>
    <w:rsid w:val="00D31F43"/>
    <w:rsid w:val="00D34EFE"/>
    <w:rsid w:val="00DA0DFE"/>
    <w:rsid w:val="00DB42BE"/>
    <w:rsid w:val="00DE2FA5"/>
    <w:rsid w:val="00E53532"/>
    <w:rsid w:val="00E60B34"/>
    <w:rsid w:val="00E70ACF"/>
    <w:rsid w:val="00E938A8"/>
    <w:rsid w:val="00E94C91"/>
    <w:rsid w:val="00EA6B5E"/>
    <w:rsid w:val="00EC4169"/>
    <w:rsid w:val="00F01AF1"/>
    <w:rsid w:val="00F05CF2"/>
    <w:rsid w:val="00F17D4A"/>
    <w:rsid w:val="00F200A2"/>
    <w:rsid w:val="00F40156"/>
    <w:rsid w:val="00F8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203"/>
  <w15:docId w15:val="{7C4CA276-2272-4499-B4B9-F2DA8A2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F80"/>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552F80"/>
    <w:rPr>
      <w:vertAlign w:val="superscript"/>
    </w:rPr>
  </w:style>
  <w:style w:type="character" w:customStyle="1" w:styleId="CharStyle15">
    <w:name w:val="Char Style 15"/>
    <w:link w:val="Style14"/>
    <w:locked/>
    <w:rsid w:val="00552F80"/>
    <w:rPr>
      <w:i/>
      <w:iCs/>
      <w:sz w:val="21"/>
      <w:szCs w:val="21"/>
      <w:shd w:val="clear" w:color="auto" w:fill="FFFFFF"/>
    </w:rPr>
  </w:style>
  <w:style w:type="paragraph" w:customStyle="1" w:styleId="Style14">
    <w:name w:val="Style 14"/>
    <w:basedOn w:val="Normalny"/>
    <w:link w:val="CharStyle15"/>
    <w:rsid w:val="00552F80"/>
    <w:pPr>
      <w:widowControl w:val="0"/>
      <w:shd w:val="clear" w:color="auto" w:fill="FFFFFF"/>
      <w:spacing w:line="288" w:lineRule="exact"/>
      <w:ind w:firstLine="720"/>
      <w:jc w:val="both"/>
    </w:pPr>
    <w:rPr>
      <w:rFonts w:ascii="Calibri" w:hAnsi="Calibri"/>
      <w:i/>
      <w:iCs/>
      <w:sz w:val="21"/>
      <w:szCs w:val="21"/>
    </w:rPr>
  </w:style>
  <w:style w:type="paragraph" w:styleId="Akapitzlist">
    <w:name w:val="List Paragraph"/>
    <w:basedOn w:val="Normalny"/>
    <w:uiPriority w:val="34"/>
    <w:qFormat/>
    <w:rsid w:val="00552F80"/>
    <w:pPr>
      <w:ind w:left="720"/>
      <w:contextualSpacing/>
    </w:pPr>
  </w:style>
  <w:style w:type="character" w:styleId="Hipercze">
    <w:name w:val="Hyperlink"/>
    <w:unhideWhenUsed/>
    <w:rsid w:val="00552F80"/>
    <w:rPr>
      <w:color w:val="0000FF"/>
      <w:u w:val="single"/>
    </w:rPr>
  </w:style>
  <w:style w:type="character" w:customStyle="1" w:styleId="h2">
    <w:name w:val="h2"/>
    <w:rsid w:val="00552F80"/>
  </w:style>
  <w:style w:type="character" w:customStyle="1" w:styleId="h1">
    <w:name w:val="h1"/>
    <w:rsid w:val="0055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8CFE34-4687-410E-96E4-7D8BE76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Piotrowicz</dc:creator>
  <cp:lastModifiedBy>b.czerwonka</cp:lastModifiedBy>
  <cp:revision>2</cp:revision>
  <cp:lastPrinted>2021-04-02T11:42:00Z</cp:lastPrinted>
  <dcterms:created xsi:type="dcterms:W3CDTF">2021-04-16T12:25:00Z</dcterms:created>
  <dcterms:modified xsi:type="dcterms:W3CDTF">2021-04-16T12:25:00Z</dcterms:modified>
</cp:coreProperties>
</file>