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680C" w:rsidRPr="0083404A" w:rsidRDefault="00425FED" w:rsidP="008C680C">
      <w:pPr>
        <w:jc w:val="center"/>
        <w:rPr>
          <w:lang w:eastAsia="pl-PL"/>
        </w:rPr>
      </w:pPr>
      <w:r w:rsidRPr="0083404A">
        <w:rPr>
          <w:lang w:eastAsia="pl-PL"/>
        </w:rPr>
        <w:t>UCHWAŁA NR 400</w:t>
      </w:r>
      <w:r w:rsidR="008C680C" w:rsidRPr="0083404A">
        <w:rPr>
          <w:lang w:eastAsia="pl-PL"/>
        </w:rPr>
        <w:t>/20</w:t>
      </w:r>
    </w:p>
    <w:p w:rsidR="008C680C" w:rsidRPr="0083404A" w:rsidRDefault="008C680C" w:rsidP="008C680C">
      <w:pPr>
        <w:jc w:val="center"/>
        <w:rPr>
          <w:lang w:eastAsia="pl-PL"/>
        </w:rPr>
      </w:pPr>
      <w:r w:rsidRPr="0083404A">
        <w:rPr>
          <w:lang w:eastAsia="pl-PL"/>
        </w:rPr>
        <w:t>RADY MIASTA TORUNIA</w:t>
      </w:r>
    </w:p>
    <w:p w:rsidR="008C680C" w:rsidRPr="0083404A" w:rsidRDefault="008C680C" w:rsidP="008C680C">
      <w:pPr>
        <w:jc w:val="center"/>
        <w:rPr>
          <w:lang w:eastAsia="pl-PL"/>
        </w:rPr>
      </w:pPr>
      <w:r w:rsidRPr="0083404A">
        <w:rPr>
          <w:lang w:eastAsia="pl-PL"/>
        </w:rPr>
        <w:t>z dnia 18 czerwca 2020 r.</w:t>
      </w:r>
    </w:p>
    <w:p w:rsidR="006E4951" w:rsidRPr="0083404A" w:rsidRDefault="006E4951" w:rsidP="008C680C">
      <w:pPr>
        <w:jc w:val="center"/>
        <w:rPr>
          <w:color w:val="000000"/>
        </w:rPr>
      </w:pPr>
    </w:p>
    <w:p w:rsidR="006E4951" w:rsidRPr="0083404A" w:rsidRDefault="006E4951" w:rsidP="008C680C">
      <w:pPr>
        <w:jc w:val="both"/>
      </w:pPr>
      <w:r w:rsidRPr="0083404A">
        <w:rPr>
          <w:color w:val="000000"/>
        </w:rPr>
        <w:t xml:space="preserve">zmieniająca uchwałę </w:t>
      </w:r>
      <w:r w:rsidR="00435A4C" w:rsidRPr="0083404A">
        <w:t>w sprawie określenia zasad udzielania dotacji celowych na dofinansowanie kosztów inwestycji służących ochronie powietrza, realizowanych na terenie Gminy Miasta Toruń.</w:t>
      </w:r>
    </w:p>
    <w:p w:rsidR="006E4951" w:rsidRPr="0083404A" w:rsidRDefault="006E4951" w:rsidP="008C680C">
      <w:pPr>
        <w:jc w:val="both"/>
        <w:rPr>
          <w:b/>
          <w:color w:val="000000"/>
        </w:rPr>
      </w:pPr>
    </w:p>
    <w:p w:rsidR="006E4951" w:rsidRPr="0083404A" w:rsidRDefault="006E4951" w:rsidP="008C680C">
      <w:pPr>
        <w:jc w:val="both"/>
      </w:pPr>
      <w:r w:rsidRPr="0083404A">
        <w:rPr>
          <w:color w:val="000000"/>
        </w:rPr>
        <w:t xml:space="preserve">Na podstawie art. 7 ust. 1 pkt 1 oraz art. 18, ust. 2 pkt 15 ustawy z dnia 8 marca </w:t>
      </w:r>
      <w:r w:rsidR="00435A4C" w:rsidRPr="0083404A">
        <w:rPr>
          <w:color w:val="000000"/>
        </w:rPr>
        <w:t>1990 r. o </w:t>
      </w:r>
      <w:r w:rsidRPr="0083404A">
        <w:rPr>
          <w:color w:val="000000"/>
        </w:rPr>
        <w:t>samorządzie gminnym (Dz. U. z 2020 r. poz. 713) oraz art. 400a ust. 1 pkt 21, pkt 22 i art. 403 ust. 5 ustawy  z dnia 27 kwietnia 2001 r. – Prawo ochrony środowiska (Dz. U. z 2019 r., poz. 1396 ze zm.</w:t>
      </w:r>
      <w:r w:rsidRPr="0083404A">
        <w:rPr>
          <w:rStyle w:val="Odwoanieprzypisudolnego1"/>
          <w:color w:val="000000"/>
        </w:rPr>
        <w:footnoteReference w:id="1"/>
      </w:r>
      <w:r w:rsidRPr="0083404A">
        <w:rPr>
          <w:color w:val="000000"/>
        </w:rPr>
        <w:t>) uchwala się, co następuje:</w:t>
      </w:r>
    </w:p>
    <w:p w:rsidR="006E4951" w:rsidRPr="0083404A" w:rsidRDefault="006E4951" w:rsidP="008C680C">
      <w:pPr>
        <w:ind w:firstLine="708"/>
        <w:jc w:val="both"/>
        <w:rPr>
          <w:color w:val="000000"/>
        </w:rPr>
      </w:pPr>
    </w:p>
    <w:p w:rsidR="006E4951" w:rsidRPr="0083404A" w:rsidRDefault="006E4951" w:rsidP="008C680C">
      <w:pPr>
        <w:pStyle w:val="Tekstpodstawowy"/>
        <w:tabs>
          <w:tab w:val="left" w:pos="1440"/>
        </w:tabs>
        <w:ind w:firstLine="567"/>
      </w:pPr>
      <w:r w:rsidRPr="0083404A">
        <w:rPr>
          <w:color w:val="000000"/>
        </w:rPr>
        <w:t xml:space="preserve">§ 1. W załączniku do uchwały </w:t>
      </w:r>
      <w:r w:rsidR="008C680C" w:rsidRPr="0083404A">
        <w:rPr>
          <w:color w:val="000000"/>
        </w:rPr>
        <w:t>n</w:t>
      </w:r>
      <w:r w:rsidRPr="0083404A">
        <w:rPr>
          <w:color w:val="000000"/>
        </w:rPr>
        <w:t xml:space="preserve">r 814/18 Rady Miasta Torunia z dnia 22 lutego 2018 r. </w:t>
      </w:r>
      <w:r w:rsidR="00435A4C" w:rsidRPr="0083404A">
        <w:rPr>
          <w:color w:val="000000"/>
        </w:rPr>
        <w:t>w </w:t>
      </w:r>
      <w:r w:rsidRPr="0083404A">
        <w:rPr>
          <w:color w:val="000000"/>
        </w:rPr>
        <w:t>sprawie określenia zasad udzielania dotacji celowych na dofinansowanie kosztów inwestycji służących ochronie powietrza, realizowanych na terenie Gminy Miasta Toruń (Dz. Urz. Woj. Kuj.- Pom. z 2018 r. poz. 1016) wprowadza się następujące zmiany:</w:t>
      </w:r>
    </w:p>
    <w:p w:rsidR="009277F6" w:rsidRPr="0083404A" w:rsidRDefault="009277F6" w:rsidP="008C680C">
      <w:pPr>
        <w:pStyle w:val="Tekstpodstawowy"/>
        <w:numPr>
          <w:ilvl w:val="0"/>
          <w:numId w:val="2"/>
        </w:numPr>
        <w:ind w:left="567" w:hanging="425"/>
      </w:pPr>
      <w:r w:rsidRPr="0083404A">
        <w:t xml:space="preserve">w § </w:t>
      </w:r>
      <w:r w:rsidR="00F13FEA">
        <w:t>3</w:t>
      </w:r>
      <w:r w:rsidRPr="0083404A">
        <w:t xml:space="preserve"> ust. 1 otrzymuje brzmienie:</w:t>
      </w:r>
    </w:p>
    <w:p w:rsidR="009277F6" w:rsidRPr="0083404A" w:rsidRDefault="009277F6" w:rsidP="009277F6">
      <w:pPr>
        <w:pStyle w:val="Tekstpodstawowy"/>
        <w:ind w:left="567"/>
      </w:pPr>
      <w:r w:rsidRPr="0083404A">
        <w:t xml:space="preserve">„1. Dotacja udzielona podmiotom prowadzącym działalność gospodarczą (w odniesieniu do nieruchomości, na której prowadzona jest działalność gospodarcza) będzie stanowiła w zależności od rodzaju prowadzonej działalności, pomoc de </w:t>
      </w:r>
      <w:proofErr w:type="spellStart"/>
      <w:r w:rsidRPr="0083404A">
        <w:t>minimis</w:t>
      </w:r>
      <w:proofErr w:type="spellEnd"/>
      <w:r w:rsidRPr="0083404A">
        <w:t xml:space="preserve"> w rozumieniu rozporządzenia Komisji (UE) nr 1407/2013 z dnia 18 grudnia 201</w:t>
      </w:r>
      <w:r w:rsidR="0083404A">
        <w:t>3 r. albo pomoc de </w:t>
      </w:r>
      <w:proofErr w:type="spellStart"/>
      <w:r w:rsidRPr="0083404A">
        <w:t>minimis</w:t>
      </w:r>
      <w:proofErr w:type="spellEnd"/>
      <w:r w:rsidRPr="0083404A">
        <w:t xml:space="preserve"> w rolnictwie w rozumieniu rozporządzenia Komisji (UE) nr 1408/2013 z dnia 18 grudnia 2013 r. w sprawie stosowania art. 107 i 108 Traktatu o funkcjonowaniu Unii Europejskiej do pomoc</w:t>
      </w:r>
      <w:r w:rsidR="002D380C" w:rsidRPr="0083404A">
        <w:t xml:space="preserve">y de </w:t>
      </w:r>
      <w:proofErr w:type="spellStart"/>
      <w:r w:rsidR="002D380C" w:rsidRPr="0083404A">
        <w:t>minimis</w:t>
      </w:r>
      <w:proofErr w:type="spellEnd"/>
      <w:r w:rsidR="002D380C" w:rsidRPr="0083404A">
        <w:t xml:space="preserve"> w sektorze rolnym (</w:t>
      </w:r>
      <w:r w:rsidRPr="0083404A">
        <w:t>D</w:t>
      </w:r>
      <w:r w:rsidR="002D380C" w:rsidRPr="0083404A">
        <w:t>z</w:t>
      </w:r>
      <w:r w:rsidRPr="0083404A">
        <w:t xml:space="preserve">. U. UE L 352.9 </w:t>
      </w:r>
      <w:r w:rsidR="002D380C" w:rsidRPr="0083404A">
        <w:t>z</w:t>
      </w:r>
      <w:r w:rsidR="0083404A">
        <w:t xml:space="preserve"> dnia 24 </w:t>
      </w:r>
      <w:r w:rsidRPr="0083404A">
        <w:t xml:space="preserve">grudnia 2013 r. z </w:t>
      </w:r>
      <w:proofErr w:type="spellStart"/>
      <w:r w:rsidRPr="0083404A">
        <w:t>późn</w:t>
      </w:r>
      <w:proofErr w:type="spellEnd"/>
      <w:r w:rsidRPr="0083404A">
        <w:t>. zm.</w:t>
      </w:r>
      <w:r w:rsidR="002D380C" w:rsidRPr="0083404A">
        <w:t>)</w:t>
      </w:r>
      <w:r w:rsidRPr="0083404A">
        <w:t xml:space="preserve"> albo pomoc de </w:t>
      </w:r>
      <w:proofErr w:type="spellStart"/>
      <w:r w:rsidRPr="0083404A">
        <w:t>minim</w:t>
      </w:r>
      <w:r w:rsidR="0083404A">
        <w:t>is</w:t>
      </w:r>
      <w:proofErr w:type="spellEnd"/>
      <w:r w:rsidR="0083404A">
        <w:t xml:space="preserve"> w sektorze rybołówstwie i </w:t>
      </w:r>
      <w:r w:rsidRPr="0083404A">
        <w:t>akwakulturze w rozumieniu rozporządzenia Kom</w:t>
      </w:r>
      <w:r w:rsidR="0083404A">
        <w:t>isji (UE) nr 717/2014 z dnia 27 </w:t>
      </w:r>
      <w:r w:rsidRPr="0083404A">
        <w:t xml:space="preserve">czerwca 2014 r. w sprawie stosowania art. 107 i 108 Traktatu o funkcjonowaniu Unii Europejskiej do pomocy de </w:t>
      </w:r>
      <w:proofErr w:type="spellStart"/>
      <w:r w:rsidRPr="0083404A">
        <w:t>minimis</w:t>
      </w:r>
      <w:proofErr w:type="spellEnd"/>
      <w:r w:rsidRPr="0083404A">
        <w:t xml:space="preserve"> w sektorze rybołówstwa i akwakultury.</w:t>
      </w:r>
      <w:r w:rsidR="00C12CFE" w:rsidRPr="0083404A">
        <w:t>”</w:t>
      </w:r>
    </w:p>
    <w:p w:rsidR="006E4951" w:rsidRPr="0083404A" w:rsidRDefault="006E4951" w:rsidP="008C680C">
      <w:pPr>
        <w:pStyle w:val="Tekstpodstawowy"/>
        <w:numPr>
          <w:ilvl w:val="0"/>
          <w:numId w:val="2"/>
        </w:numPr>
        <w:ind w:left="567" w:hanging="425"/>
      </w:pPr>
      <w:r w:rsidRPr="0083404A">
        <w:rPr>
          <w:color w:val="000000"/>
        </w:rPr>
        <w:t xml:space="preserve">§ 4 otrzymuje brzmienie: </w:t>
      </w:r>
    </w:p>
    <w:p w:rsidR="006E4951" w:rsidRPr="0083404A" w:rsidRDefault="006E4951" w:rsidP="008C680C">
      <w:pPr>
        <w:suppressAutoHyphens w:val="0"/>
        <w:ind w:firstLine="567"/>
        <w:jc w:val="both"/>
      </w:pPr>
      <w:r w:rsidRPr="0083404A">
        <w:rPr>
          <w:color w:val="000000"/>
          <w:lang w:eastAsia="pl-PL"/>
        </w:rPr>
        <w:t>„§ 4. 1. Dotacja może być udzielona:</w:t>
      </w:r>
    </w:p>
    <w:p w:rsidR="006E4951" w:rsidRPr="0083404A" w:rsidRDefault="006E4951" w:rsidP="008C680C">
      <w:pPr>
        <w:suppressAutoHyphens w:val="0"/>
        <w:ind w:left="567" w:hanging="425"/>
        <w:jc w:val="both"/>
      </w:pPr>
      <w:r w:rsidRPr="0083404A">
        <w:rPr>
          <w:color w:val="000000"/>
          <w:lang w:eastAsia="pl-PL"/>
        </w:rPr>
        <w:t xml:space="preserve">1) gdy wniosek o udzielenie dotacji, o którym mowa w § 5 złożony zostanie przed likwidacją systemu ogrzewania opartego na paliwie stałym, którego istnienie potwierdzone zostanie przez przedstawiciela Urzędu Miasta Torunia </w:t>
      </w:r>
      <w:r w:rsidRPr="0083404A">
        <w:rPr>
          <w:lang w:eastAsia="pl-PL"/>
        </w:rPr>
        <w:t>w trakcie oględzin, z zastrzeżenie</w:t>
      </w:r>
      <w:r w:rsidR="00435A4C" w:rsidRPr="0083404A">
        <w:rPr>
          <w:lang w:eastAsia="pl-PL"/>
        </w:rPr>
        <w:t>m, że w </w:t>
      </w:r>
      <w:r w:rsidRPr="0083404A">
        <w:rPr>
          <w:lang w:eastAsia="pl-PL"/>
        </w:rPr>
        <w:t xml:space="preserve">czasie obowiązywania </w:t>
      </w:r>
      <w:r w:rsidRPr="0083404A">
        <w:t xml:space="preserve">stanu zagrożenia epidemicznego lub stanu </w:t>
      </w:r>
      <w:r w:rsidRPr="0083404A">
        <w:rPr>
          <w:lang w:eastAsia="pl-PL"/>
        </w:rPr>
        <w:t xml:space="preserve">epidemii, oględziny będą </w:t>
      </w:r>
      <w:r w:rsidR="00BA2B0D" w:rsidRPr="0083404A">
        <w:rPr>
          <w:lang w:eastAsia="pl-PL"/>
        </w:rPr>
        <w:t xml:space="preserve">możliwe do zastąpienia </w:t>
      </w:r>
      <w:r w:rsidRPr="0083404A">
        <w:rPr>
          <w:lang w:eastAsia="pl-PL"/>
        </w:rPr>
        <w:t>dokumentacją fotograficzn</w:t>
      </w:r>
      <w:r w:rsidRPr="0083404A">
        <w:t>ą</w:t>
      </w:r>
      <w:r w:rsidRPr="0083404A">
        <w:rPr>
          <w:lang w:eastAsia="pl-PL"/>
        </w:rPr>
        <w:t xml:space="preserve"> </w:t>
      </w:r>
      <w:r w:rsidR="00BA2B0D" w:rsidRPr="0083404A">
        <w:t>dostarczoną przez Wnioskodawcę</w:t>
      </w:r>
      <w:r w:rsidR="00BA2B0D" w:rsidRPr="0083404A">
        <w:rPr>
          <w:color w:val="000000"/>
          <w:lang w:eastAsia="pl-PL"/>
        </w:rPr>
        <w:t xml:space="preserve"> </w:t>
      </w:r>
      <w:r w:rsidRPr="0083404A">
        <w:rPr>
          <w:color w:val="000000"/>
          <w:lang w:eastAsia="pl-PL"/>
        </w:rPr>
        <w:t>umożliwiając</w:t>
      </w:r>
      <w:r w:rsidRPr="0083404A">
        <w:rPr>
          <w:rFonts w:eastAsia="Calibri"/>
          <w:color w:val="000000"/>
          <w:lang w:eastAsia="en-US"/>
        </w:rPr>
        <w:t>ą</w:t>
      </w:r>
      <w:r w:rsidRPr="0083404A">
        <w:rPr>
          <w:color w:val="000000"/>
          <w:lang w:eastAsia="pl-PL"/>
        </w:rPr>
        <w:t xml:space="preserve"> identyfikację likwidowanego systemu ogrzewania opartego na paliwie stałym oraz lokalu, w którym likwidacja ma mieć miejsce, potwierdzoną przez przeprowadzeni</w:t>
      </w:r>
      <w:r w:rsidRPr="0083404A">
        <w:rPr>
          <w:color w:val="000000"/>
        </w:rPr>
        <w:t>e</w:t>
      </w:r>
      <w:r w:rsidRPr="0083404A">
        <w:rPr>
          <w:color w:val="000000"/>
          <w:lang w:eastAsia="pl-PL"/>
        </w:rPr>
        <w:t xml:space="preserve"> </w:t>
      </w:r>
      <w:proofErr w:type="spellStart"/>
      <w:r w:rsidRPr="0083404A">
        <w:rPr>
          <w:color w:val="000000"/>
          <w:lang w:eastAsia="pl-PL"/>
        </w:rPr>
        <w:t>wideorozmowy</w:t>
      </w:r>
      <w:proofErr w:type="spellEnd"/>
      <w:r w:rsidRPr="0083404A">
        <w:rPr>
          <w:color w:val="000000"/>
          <w:lang w:eastAsia="pl-PL"/>
        </w:rPr>
        <w:t xml:space="preserve"> przez pracownika Urzędu Miasta Torunia z Wnioskodawcą;”</w:t>
      </w:r>
    </w:p>
    <w:p w:rsidR="006E4951" w:rsidRPr="0083404A" w:rsidRDefault="006E4951" w:rsidP="008C680C">
      <w:pPr>
        <w:pStyle w:val="Tekstpodstawowywcity2"/>
        <w:ind w:left="567" w:hanging="425"/>
      </w:pPr>
      <w:r w:rsidRPr="0083404A">
        <w:t>2) z zastrzeżeniem postanowienia ust. 2, po likwidacji systemu ogrzewania opartego na paliwie stałym lub wymianie tego systemu ogrzewania na niskoemisyjny system ogrzewania polegający na:</w:t>
      </w:r>
    </w:p>
    <w:p w:rsidR="006E4951" w:rsidRPr="0083404A" w:rsidRDefault="006E4951" w:rsidP="008C680C">
      <w:pPr>
        <w:pStyle w:val="Akapitzlist"/>
        <w:numPr>
          <w:ilvl w:val="0"/>
          <w:numId w:val="3"/>
        </w:numPr>
        <w:suppressAutoHyphens w:val="0"/>
        <w:spacing w:after="0" w:line="240" w:lineRule="auto"/>
        <w:ind w:left="924" w:hanging="357"/>
        <w:jc w:val="both"/>
        <w:rPr>
          <w:rFonts w:ascii="Times New Roman" w:hAnsi="Times New Roman" w:cs="Times New Roman"/>
          <w:sz w:val="24"/>
          <w:szCs w:val="24"/>
        </w:rPr>
      </w:pPr>
      <w:r w:rsidRPr="0083404A">
        <w:rPr>
          <w:rFonts w:ascii="Times New Roman" w:hAnsi="Times New Roman" w:cs="Times New Roman"/>
          <w:color w:val="000000"/>
          <w:sz w:val="24"/>
          <w:szCs w:val="24"/>
          <w:lang w:eastAsia="pl-PL"/>
        </w:rPr>
        <w:t>podłączeniu do miejskiej sieci ciepłowniczej,</w:t>
      </w:r>
    </w:p>
    <w:p w:rsidR="006E4951" w:rsidRPr="0083404A" w:rsidRDefault="006E4951" w:rsidP="008C680C">
      <w:pPr>
        <w:pStyle w:val="Akapitzlist"/>
        <w:numPr>
          <w:ilvl w:val="0"/>
          <w:numId w:val="3"/>
        </w:numPr>
        <w:suppressAutoHyphens w:val="0"/>
        <w:spacing w:after="0" w:line="240" w:lineRule="auto"/>
        <w:ind w:left="924" w:hanging="357"/>
        <w:jc w:val="both"/>
        <w:rPr>
          <w:rFonts w:ascii="Times New Roman" w:hAnsi="Times New Roman" w:cs="Times New Roman"/>
          <w:sz w:val="24"/>
          <w:szCs w:val="24"/>
        </w:rPr>
      </w:pPr>
      <w:r w:rsidRPr="0083404A">
        <w:rPr>
          <w:rFonts w:ascii="Times New Roman" w:hAnsi="Times New Roman" w:cs="Times New Roman"/>
          <w:color w:val="000000"/>
          <w:sz w:val="24"/>
          <w:szCs w:val="24"/>
          <w:lang w:eastAsia="pl-PL"/>
        </w:rPr>
        <w:t>ogrzewaniu gazowym, elektrycznym lub olejowym,</w:t>
      </w:r>
    </w:p>
    <w:p w:rsidR="006E4951" w:rsidRPr="0083404A" w:rsidRDefault="006E4951" w:rsidP="008C680C">
      <w:pPr>
        <w:pStyle w:val="Akapitzlist"/>
        <w:numPr>
          <w:ilvl w:val="0"/>
          <w:numId w:val="3"/>
        </w:numPr>
        <w:suppressAutoHyphens w:val="0"/>
        <w:spacing w:after="0" w:line="240" w:lineRule="auto"/>
        <w:ind w:left="924" w:hanging="357"/>
        <w:jc w:val="both"/>
        <w:rPr>
          <w:rFonts w:ascii="Times New Roman" w:hAnsi="Times New Roman" w:cs="Times New Roman"/>
          <w:sz w:val="24"/>
          <w:szCs w:val="24"/>
        </w:rPr>
      </w:pPr>
      <w:r w:rsidRPr="0083404A">
        <w:rPr>
          <w:rFonts w:ascii="Times New Roman" w:hAnsi="Times New Roman" w:cs="Times New Roman"/>
          <w:color w:val="000000"/>
          <w:sz w:val="24"/>
          <w:szCs w:val="24"/>
          <w:lang w:eastAsia="pl-PL"/>
        </w:rPr>
        <w:t>zainstalowaniu pompy ciepła,</w:t>
      </w:r>
    </w:p>
    <w:p w:rsidR="006E4951" w:rsidRPr="0083404A" w:rsidRDefault="006E4951" w:rsidP="008C680C">
      <w:pPr>
        <w:pStyle w:val="Tekstpodstawowywcity2"/>
        <w:numPr>
          <w:ilvl w:val="0"/>
          <w:numId w:val="3"/>
        </w:numPr>
        <w:ind w:left="924" w:hanging="357"/>
        <w:rPr>
          <w:lang w:eastAsia="zh-CN"/>
        </w:rPr>
      </w:pPr>
      <w:r w:rsidRPr="0083404A">
        <w:rPr>
          <w:lang w:eastAsia="zh-CN"/>
        </w:rPr>
        <w:t xml:space="preserve">ogrzewaniu kotłem na paliwo stałe z podajnikiem automatycznym, spełniającym wymagania klasy 5. według normy PN-EN 303-5:2012 lub wymagania określone </w:t>
      </w:r>
      <w:r w:rsidRPr="0083404A">
        <w:rPr>
          <w:lang w:eastAsia="zh-CN"/>
        </w:rPr>
        <w:lastRenderedPageBreak/>
        <w:t>w</w:t>
      </w:r>
      <w:r w:rsidR="0083404A">
        <w:rPr>
          <w:lang w:eastAsia="zh-CN"/>
        </w:rPr>
        <w:t> </w:t>
      </w:r>
      <w:r w:rsidRPr="0083404A">
        <w:rPr>
          <w:lang w:eastAsia="zh-CN"/>
        </w:rPr>
        <w:t>pkt 1 załącznika II do rozporządzenia Komisji (UE) 2015/1189 z dni</w:t>
      </w:r>
      <w:r w:rsidR="00435A4C" w:rsidRPr="0083404A">
        <w:rPr>
          <w:lang w:eastAsia="zh-CN"/>
        </w:rPr>
        <w:t>a 28 kwietnia 2015 r. w </w:t>
      </w:r>
      <w:r w:rsidRPr="0083404A">
        <w:rPr>
          <w:lang w:eastAsia="zh-CN"/>
        </w:rPr>
        <w:t>sprawie wykonania dyrektywy Parlamentu Eur</w:t>
      </w:r>
      <w:r w:rsidR="00435A4C" w:rsidRPr="0083404A">
        <w:rPr>
          <w:lang w:eastAsia="zh-CN"/>
        </w:rPr>
        <w:t>opejskiego i Rady 2009/125/WE w </w:t>
      </w:r>
      <w:r w:rsidRPr="0083404A">
        <w:rPr>
          <w:lang w:eastAsia="zh-CN"/>
        </w:rPr>
        <w:t xml:space="preserve">odniesieniu do wymogów dotyczących </w:t>
      </w:r>
      <w:proofErr w:type="spellStart"/>
      <w:r w:rsidRPr="0083404A">
        <w:rPr>
          <w:lang w:eastAsia="zh-CN"/>
        </w:rPr>
        <w:t>ekoprojektu</w:t>
      </w:r>
      <w:proofErr w:type="spellEnd"/>
      <w:r w:rsidRPr="0083404A">
        <w:rPr>
          <w:lang w:eastAsia="zh-CN"/>
        </w:rPr>
        <w:t xml:space="preserve"> dla kotłów na paliwo stałe.</w:t>
      </w:r>
    </w:p>
    <w:p w:rsidR="006E4951" w:rsidRPr="0083404A" w:rsidRDefault="006E4951" w:rsidP="008C680C">
      <w:pPr>
        <w:suppressAutoHyphens w:val="0"/>
        <w:ind w:firstLine="567"/>
        <w:jc w:val="both"/>
      </w:pPr>
      <w:r w:rsidRPr="0083404A">
        <w:rPr>
          <w:color w:val="000000"/>
        </w:rPr>
        <w:t>2. W przypadku pieca kaflowego lub innego pieca domowego opalanego węglem,  który posiada wysoką wartość historyczną lub estetyczną potwierdzoną opinią miejskiego konserwatora zabytków lub jest objęty ochroną miejskiego konserwatora zabytków, można odstąpić od jego likwidacji pod warunkiem trwałego usunięcia połączenia z przewodem kominowym.”;</w:t>
      </w:r>
    </w:p>
    <w:p w:rsidR="00B74C9D" w:rsidRPr="0083404A" w:rsidRDefault="00B74C9D" w:rsidP="008C680C">
      <w:pPr>
        <w:pStyle w:val="Tekstpodstawowy"/>
        <w:numPr>
          <w:ilvl w:val="0"/>
          <w:numId w:val="2"/>
        </w:numPr>
        <w:ind w:left="567" w:hanging="425"/>
      </w:pPr>
      <w:r w:rsidRPr="0083404A">
        <w:t>w § 5 ust. 3 otrzymuje brzmienie:</w:t>
      </w:r>
    </w:p>
    <w:p w:rsidR="00B74C9D" w:rsidRPr="0083404A" w:rsidRDefault="00B74C9D" w:rsidP="00B74C9D">
      <w:pPr>
        <w:pStyle w:val="Tekstpodstawowy"/>
        <w:ind w:left="567"/>
      </w:pPr>
      <w:r w:rsidRPr="0083404A">
        <w:t>„3. Podmioty prowadzące działalność gospodarczą (w odniesieniu do nieruchomości, na której prowadzona jest działalność gospodarcza) ubiegający się o udzielenie dotacji, zobowią</w:t>
      </w:r>
      <w:r w:rsidR="0083404A" w:rsidRPr="0083404A">
        <w:t>zane są</w:t>
      </w:r>
      <w:r w:rsidRPr="0083404A">
        <w:t xml:space="preserve"> do dostarczenia wraz z wnioskiem wszystkich dokumentów, o których mowa w </w:t>
      </w:r>
      <w:r w:rsidR="0083404A" w:rsidRPr="0083404A">
        <w:t>§ 3.”;</w:t>
      </w:r>
    </w:p>
    <w:p w:rsidR="006E4951" w:rsidRPr="0083404A" w:rsidRDefault="006E4951" w:rsidP="008C680C">
      <w:pPr>
        <w:pStyle w:val="Tekstpodstawowy"/>
        <w:numPr>
          <w:ilvl w:val="0"/>
          <w:numId w:val="2"/>
        </w:numPr>
        <w:ind w:left="567" w:hanging="425"/>
      </w:pPr>
      <w:r w:rsidRPr="0083404A">
        <w:rPr>
          <w:color w:val="000000"/>
        </w:rPr>
        <w:t>§ 7 otrzymuje brzmienie:</w:t>
      </w:r>
    </w:p>
    <w:p w:rsidR="006E4951" w:rsidRPr="0083404A" w:rsidRDefault="006E4951" w:rsidP="00435A4C">
      <w:pPr>
        <w:pStyle w:val="Tekstpodstawowy"/>
        <w:ind w:left="567"/>
      </w:pPr>
      <w:r w:rsidRPr="0083404A">
        <w:rPr>
          <w:color w:val="000000"/>
        </w:rPr>
        <w:t>„§ 7. Dotacja przekazywana będzie po wykonaniu inwestycji, udokumentowaniu poniesionych kosztów, przedłożeniu wymaganych dokumentów wynikających z zawartej umowy o udzielenie dotacji oraz po dokonaniu przez przedstawiciela Urzędu Miasta Torunia oględzin budynku lub lokalu, w którym zlikwidowano system ogrzewania oparty na paliwie stałym lub dokonano zmiany na nis</w:t>
      </w:r>
      <w:r w:rsidR="00435A4C" w:rsidRPr="0083404A">
        <w:rPr>
          <w:color w:val="000000"/>
        </w:rPr>
        <w:t>koemisyjny system ogrzewania, z </w:t>
      </w:r>
      <w:r w:rsidRPr="0083404A">
        <w:rPr>
          <w:color w:val="000000"/>
        </w:rPr>
        <w:t xml:space="preserve">zastrzeżeniem, że w czasie obowiązywania stanu zagrożenia epidemicznego lub stanu </w:t>
      </w:r>
      <w:r w:rsidRPr="0083404A">
        <w:rPr>
          <w:color w:val="000000"/>
          <w:lang w:eastAsia="pl-PL"/>
        </w:rPr>
        <w:t>epidemii</w:t>
      </w:r>
      <w:r w:rsidRPr="0083404A">
        <w:rPr>
          <w:color w:val="000000"/>
        </w:rPr>
        <w:t xml:space="preserve">, oględziny </w:t>
      </w:r>
      <w:r w:rsidR="00297894" w:rsidRPr="0083404A">
        <w:rPr>
          <w:color w:val="000000"/>
        </w:rPr>
        <w:t>mogą być</w:t>
      </w:r>
      <w:r w:rsidRPr="0083404A">
        <w:rPr>
          <w:color w:val="000000"/>
        </w:rPr>
        <w:t xml:space="preserve"> zastąpione dostarczoną przez Wnioskodawcę dokumentacją fotograficzną umożliwiając</w:t>
      </w:r>
      <w:r w:rsidRPr="0083404A">
        <w:rPr>
          <w:rFonts w:eastAsia="Calibri"/>
          <w:color w:val="000000"/>
          <w:lang w:eastAsia="en-US"/>
        </w:rPr>
        <w:t>ą</w:t>
      </w:r>
      <w:r w:rsidRPr="0083404A">
        <w:rPr>
          <w:color w:val="000000"/>
        </w:rPr>
        <w:t xml:space="preserve"> identyfikację miejsc po likwidacji kotłów węglowych oraz zainstalowanego nowego niskoemisy</w:t>
      </w:r>
      <w:r w:rsidR="0083404A">
        <w:rPr>
          <w:color w:val="000000"/>
        </w:rPr>
        <w:t>jnego systemu grzewczego, jak i </w:t>
      </w:r>
      <w:r w:rsidRPr="0083404A">
        <w:rPr>
          <w:color w:val="000000"/>
        </w:rPr>
        <w:t xml:space="preserve">lokalu, w którym dokonano jego instalacji, potwierdzonej przez przeprowadzenie </w:t>
      </w:r>
      <w:proofErr w:type="spellStart"/>
      <w:r w:rsidRPr="0083404A">
        <w:rPr>
          <w:color w:val="000000"/>
        </w:rPr>
        <w:t>wideorozmowy</w:t>
      </w:r>
      <w:proofErr w:type="spellEnd"/>
      <w:r w:rsidRPr="0083404A">
        <w:rPr>
          <w:color w:val="000000"/>
        </w:rPr>
        <w:t xml:space="preserve"> przez pracownika Urzędu Miasta Torunia z Wnioskodawcą, oraz dokumentu potwierdzającego przekazanie do skupu złomu kotła c.o. lub w przypadku pieców kaflowych dokumentu potwierdzającego wywóz odpadów z rozbiórki pieców na miejskie składowisko odpadów”.</w:t>
      </w:r>
    </w:p>
    <w:p w:rsidR="006E4951" w:rsidRPr="0083404A" w:rsidRDefault="006E4951" w:rsidP="008C680C">
      <w:pPr>
        <w:pStyle w:val="Tekstpodstawowy"/>
        <w:numPr>
          <w:ilvl w:val="0"/>
          <w:numId w:val="2"/>
        </w:numPr>
        <w:ind w:left="567" w:hanging="425"/>
      </w:pPr>
      <w:r w:rsidRPr="0083404A">
        <w:rPr>
          <w:color w:val="000000"/>
        </w:rPr>
        <w:t>w § 8 w ust. 1 pkt 7 otrzymuje brzmienie:</w:t>
      </w:r>
    </w:p>
    <w:p w:rsidR="006E4951" w:rsidRPr="0083404A" w:rsidRDefault="006E4951" w:rsidP="00435A4C">
      <w:pPr>
        <w:tabs>
          <w:tab w:val="left" w:pos="567"/>
        </w:tabs>
        <w:ind w:left="567"/>
        <w:jc w:val="both"/>
      </w:pPr>
      <w:r w:rsidRPr="0083404A">
        <w:rPr>
          <w:color w:val="000000"/>
        </w:rPr>
        <w:t>„7) w przypadku zastosowania do celów grzewczych kotła na paliwo stałe z podajnikiem automatycznym, spełniającego wymagania klasy 5. według normy PN-EN 303-5:2012 lub wymagania określone w pkt 1 załącznika II do rozporzą</w:t>
      </w:r>
      <w:r w:rsidR="00435A4C" w:rsidRPr="0083404A">
        <w:rPr>
          <w:color w:val="000000"/>
        </w:rPr>
        <w:t>dzenia Komisji (UE) 2015/1189 z </w:t>
      </w:r>
      <w:r w:rsidRPr="0083404A">
        <w:rPr>
          <w:color w:val="000000"/>
        </w:rPr>
        <w:t xml:space="preserve">dnia 28 kwietnia 2015 r. w sprawie wykonania dyrektywy Parlamentu Europejskiego i Rady 2009/125/WE w odniesieniu do wymogów dotyczących </w:t>
      </w:r>
      <w:proofErr w:type="spellStart"/>
      <w:r w:rsidRPr="0083404A">
        <w:rPr>
          <w:color w:val="000000"/>
        </w:rPr>
        <w:t>ekoprojektu</w:t>
      </w:r>
      <w:proofErr w:type="spellEnd"/>
      <w:r w:rsidRPr="0083404A">
        <w:rPr>
          <w:color w:val="000000"/>
        </w:rPr>
        <w:t xml:space="preserve"> dla kotłów na paliwo stałe, i trwałej</w:t>
      </w:r>
      <w:r w:rsidR="0083404A">
        <w:rPr>
          <w:color w:val="000000"/>
        </w:rPr>
        <w:t xml:space="preserve"> likwidacji kotłowni węglowej i </w:t>
      </w:r>
      <w:r w:rsidRPr="0083404A">
        <w:rPr>
          <w:color w:val="000000"/>
        </w:rPr>
        <w:t>wszys</w:t>
      </w:r>
      <w:r w:rsidR="00435A4C" w:rsidRPr="0083404A">
        <w:rPr>
          <w:color w:val="000000"/>
        </w:rPr>
        <w:t>tkich pieców opalanych węglem w </w:t>
      </w:r>
      <w:r w:rsidRPr="0083404A">
        <w:rPr>
          <w:color w:val="000000"/>
        </w:rPr>
        <w:t>budynku lub lokalu położonym poza obszarem jednostek urbanistycznych Bydgoskie Przedmieśc</w:t>
      </w:r>
      <w:r w:rsidR="0083404A">
        <w:rPr>
          <w:color w:val="000000"/>
        </w:rPr>
        <w:t>ie i Stare Miasto, ustalonych w </w:t>
      </w:r>
      <w:r w:rsidRPr="0083404A">
        <w:rPr>
          <w:color w:val="000000"/>
        </w:rPr>
        <w:t>Studium uwarunkowań i kierunków zagospodarowania przestrzennego miasta Torunia przyjętym uchwałą nr 805/18 Rady Miasta Torunia z dnia 25 stycznia 2018</w:t>
      </w:r>
      <w:r w:rsidR="005D0BD1" w:rsidRPr="0083404A">
        <w:rPr>
          <w:color w:val="000000"/>
        </w:rPr>
        <w:t xml:space="preserve"> </w:t>
      </w:r>
      <w:r w:rsidRPr="0083404A">
        <w:rPr>
          <w:color w:val="000000"/>
        </w:rPr>
        <w:t>r. oraz poza terenami zwartej zabudowy wielorodzinnej uzbr</w:t>
      </w:r>
      <w:r w:rsidR="0083404A">
        <w:rPr>
          <w:color w:val="000000"/>
        </w:rPr>
        <w:t>ojonymi w sieć ciepłowniczą lub </w:t>
      </w:r>
      <w:r w:rsidRPr="0083404A">
        <w:rPr>
          <w:color w:val="000000"/>
        </w:rPr>
        <w:t>gazowniczą, dotacja wynosi 30% kosztów, o których mowa w ust. 3 pkt 7, lecz nie więcej niż 3 600,00 zł;”;</w:t>
      </w:r>
    </w:p>
    <w:p w:rsidR="006E4951" w:rsidRPr="0083404A" w:rsidRDefault="006E4951" w:rsidP="008C680C">
      <w:pPr>
        <w:pStyle w:val="Tekstpodstawowy"/>
        <w:numPr>
          <w:ilvl w:val="0"/>
          <w:numId w:val="2"/>
        </w:numPr>
        <w:ind w:left="567" w:hanging="425"/>
      </w:pPr>
      <w:r w:rsidRPr="0083404A">
        <w:rPr>
          <w:color w:val="000000"/>
        </w:rPr>
        <w:t xml:space="preserve">w § 8 w ust. 1 uchyla się pkt 8; </w:t>
      </w:r>
    </w:p>
    <w:p w:rsidR="006E4951" w:rsidRPr="0083404A" w:rsidRDefault="006E4951" w:rsidP="008C680C">
      <w:pPr>
        <w:pStyle w:val="Tekstpodstawowy"/>
        <w:numPr>
          <w:ilvl w:val="0"/>
          <w:numId w:val="2"/>
        </w:numPr>
        <w:ind w:left="567" w:hanging="425"/>
      </w:pPr>
      <w:r w:rsidRPr="0083404A">
        <w:rPr>
          <w:color w:val="000000"/>
        </w:rPr>
        <w:t>w § 8 w ust. 3 pkt 7 otrzymuje brzmienie:</w:t>
      </w:r>
    </w:p>
    <w:p w:rsidR="006E4951" w:rsidRPr="0083404A" w:rsidRDefault="006E4951" w:rsidP="008C680C">
      <w:pPr>
        <w:pStyle w:val="Tekstpodstawowy"/>
        <w:ind w:left="567"/>
      </w:pPr>
      <w:r w:rsidRPr="0083404A">
        <w:rPr>
          <w:color w:val="000000"/>
        </w:rPr>
        <w:t>„7) demontaż ogrzewania opartego na paliwie stałym, zakup i</w:t>
      </w:r>
      <w:r w:rsidR="00435A4C" w:rsidRPr="0083404A">
        <w:rPr>
          <w:color w:val="000000"/>
        </w:rPr>
        <w:t xml:space="preserve"> montaż kotła na paliwo stałe z </w:t>
      </w:r>
      <w:r w:rsidRPr="0083404A">
        <w:rPr>
          <w:color w:val="000000"/>
        </w:rPr>
        <w:t xml:space="preserve">podajnikiem automatycznym, spełniającym wymagania klasy 5. według normy PN-EN 303-5:2012 lub wymagania określone w pkt 1 załącznika II do rozporządzenia Komisji (UE) 2015/1189 z dnia 28 kwietnia 2015 r. w sprawie wykonania dyrektywy Parlamentu Europejskiego i Rady 2009/125/WE w odniesieniu do wymogów </w:t>
      </w:r>
      <w:r w:rsidRPr="0083404A">
        <w:rPr>
          <w:color w:val="000000"/>
        </w:rPr>
        <w:lastRenderedPageBreak/>
        <w:t xml:space="preserve">dotyczących </w:t>
      </w:r>
      <w:proofErr w:type="spellStart"/>
      <w:r w:rsidRPr="0083404A">
        <w:rPr>
          <w:color w:val="000000"/>
        </w:rPr>
        <w:t>ekoprojektu</w:t>
      </w:r>
      <w:proofErr w:type="spellEnd"/>
      <w:r w:rsidRPr="0083404A">
        <w:rPr>
          <w:color w:val="000000"/>
        </w:rPr>
        <w:t xml:space="preserve"> dla kotłów na paliwo stałe, instalacji wewnętrznej, w tym grzejników oraz w przypadku ogrzewania podłogowego zakup i montaż rur wielowarstwowych;”</w:t>
      </w:r>
    </w:p>
    <w:p w:rsidR="006E4951" w:rsidRPr="0083404A" w:rsidRDefault="006E4951" w:rsidP="008C680C">
      <w:pPr>
        <w:pStyle w:val="Tekstpodstawowy"/>
        <w:numPr>
          <w:ilvl w:val="0"/>
          <w:numId w:val="2"/>
        </w:numPr>
        <w:ind w:left="567" w:hanging="425"/>
      </w:pPr>
      <w:r w:rsidRPr="0083404A">
        <w:rPr>
          <w:color w:val="000000"/>
        </w:rPr>
        <w:t>po § 8 dodaje się § 9 i § 10 w brzmieniu:</w:t>
      </w:r>
    </w:p>
    <w:p w:rsidR="006E4951" w:rsidRPr="0083404A" w:rsidRDefault="006E4951" w:rsidP="008C680C">
      <w:pPr>
        <w:pStyle w:val="Tekstpodstawowy"/>
        <w:ind w:left="567"/>
      </w:pPr>
      <w:r w:rsidRPr="0083404A">
        <w:rPr>
          <w:color w:val="000000"/>
        </w:rPr>
        <w:t>„§ 9. W przypadku pozyskania przez Gminę Miasta Toruń zewnętrznych środków na likwidację ogrzewania węglowego dla mieszkańców miasta Torunia maksymalna suma jednostkowej dotacji nie może przekraczać kwoty ustalonej w niniejszej uchwale.</w:t>
      </w:r>
    </w:p>
    <w:p w:rsidR="006E4951" w:rsidRPr="0083404A" w:rsidRDefault="006E4951" w:rsidP="008C680C">
      <w:pPr>
        <w:pStyle w:val="Tekstpodstawowy"/>
        <w:ind w:left="567"/>
      </w:pPr>
      <w:r w:rsidRPr="0083404A">
        <w:rPr>
          <w:color w:val="000000"/>
        </w:rPr>
        <w:t>§ 10. Gmina Miasta Toruń jest uprawniona do przeprowadzenia kontroli zgodności zmiany systemu ogrzewania opartego na paliwie stałym na niskoemisyjny system ogrzewania na dowolnym etapie prowadzenia inwestycji oraz w ciągu pięciu lat, licząc od końca roku kalendarzowego, w którym dotacja została udzielona.”</w:t>
      </w:r>
    </w:p>
    <w:p w:rsidR="006E4951" w:rsidRPr="0083404A" w:rsidRDefault="006E4951" w:rsidP="008C680C">
      <w:pPr>
        <w:pStyle w:val="Tekstpodstawowy"/>
        <w:tabs>
          <w:tab w:val="left" w:pos="709"/>
        </w:tabs>
        <w:ind w:left="720"/>
        <w:rPr>
          <w:color w:val="000000"/>
        </w:rPr>
      </w:pPr>
    </w:p>
    <w:p w:rsidR="006E4951" w:rsidRPr="0083404A" w:rsidRDefault="006E4951" w:rsidP="008C680C">
      <w:pPr>
        <w:pStyle w:val="Tekstpodstawowy"/>
        <w:tabs>
          <w:tab w:val="left" w:pos="1440"/>
        </w:tabs>
        <w:ind w:firstLine="567"/>
      </w:pPr>
      <w:r w:rsidRPr="0083404A">
        <w:rPr>
          <w:color w:val="000000"/>
        </w:rPr>
        <w:t>§ 2. Wykonanie uchwały powierza się Prezydentowi Miasta Torunia.</w:t>
      </w:r>
    </w:p>
    <w:p w:rsidR="006E4951" w:rsidRPr="0083404A" w:rsidRDefault="006E4951" w:rsidP="008C680C">
      <w:pPr>
        <w:pStyle w:val="Tekstpodstawowy"/>
        <w:tabs>
          <w:tab w:val="left" w:pos="1440"/>
        </w:tabs>
        <w:ind w:firstLine="567"/>
        <w:rPr>
          <w:color w:val="000000"/>
        </w:rPr>
      </w:pPr>
    </w:p>
    <w:p w:rsidR="006E4951" w:rsidRPr="0083404A" w:rsidRDefault="006E4951" w:rsidP="008C680C">
      <w:pPr>
        <w:pStyle w:val="Tekstpodstawowy"/>
        <w:tabs>
          <w:tab w:val="left" w:pos="1440"/>
        </w:tabs>
        <w:ind w:firstLine="567"/>
      </w:pPr>
      <w:r w:rsidRPr="0083404A">
        <w:rPr>
          <w:color w:val="000000"/>
        </w:rPr>
        <w:t>§ 3. Uchwała wchodzi w życie po upływie 14 dni od dnia jej ogłoszenia w Dzienniku Urzędowym Województwa Kujawsko-Pomorskiego.</w:t>
      </w:r>
    </w:p>
    <w:p w:rsidR="006E4951" w:rsidRPr="0083404A" w:rsidRDefault="006E4951" w:rsidP="008C680C">
      <w:pPr>
        <w:pStyle w:val="Tekstpodstawowy"/>
        <w:tabs>
          <w:tab w:val="left" w:pos="1440"/>
        </w:tabs>
        <w:rPr>
          <w:color w:val="000000"/>
        </w:rPr>
      </w:pPr>
    </w:p>
    <w:p w:rsidR="006E4951" w:rsidRPr="0083404A" w:rsidRDefault="006E4951" w:rsidP="008C680C">
      <w:pPr>
        <w:pStyle w:val="Tekstpodstawowy"/>
        <w:tabs>
          <w:tab w:val="left" w:pos="1440"/>
        </w:tabs>
        <w:rPr>
          <w:color w:val="000000"/>
        </w:rPr>
      </w:pPr>
    </w:p>
    <w:p w:rsidR="006E4951" w:rsidRPr="0083404A" w:rsidRDefault="006E4951" w:rsidP="008C680C">
      <w:pPr>
        <w:pStyle w:val="Tekstpodstawowy"/>
        <w:tabs>
          <w:tab w:val="left" w:pos="1440"/>
        </w:tabs>
        <w:rPr>
          <w:color w:val="000000"/>
        </w:rPr>
      </w:pPr>
    </w:p>
    <w:p w:rsidR="006E4951" w:rsidRPr="0083404A" w:rsidRDefault="006E4951" w:rsidP="008C680C">
      <w:pPr>
        <w:pStyle w:val="Tekstpodstawowy"/>
        <w:tabs>
          <w:tab w:val="left" w:pos="1440"/>
        </w:tabs>
        <w:rPr>
          <w:color w:val="000000"/>
        </w:rPr>
      </w:pPr>
    </w:p>
    <w:p w:rsidR="008C680C" w:rsidRPr="0083404A" w:rsidRDefault="008C680C" w:rsidP="008C680C">
      <w:pPr>
        <w:ind w:firstLine="3402"/>
        <w:jc w:val="center"/>
      </w:pPr>
      <w:r w:rsidRPr="0083404A">
        <w:t>Przewodniczący</w:t>
      </w:r>
    </w:p>
    <w:p w:rsidR="008C680C" w:rsidRPr="0083404A" w:rsidRDefault="008C680C" w:rsidP="008C680C">
      <w:pPr>
        <w:ind w:firstLine="3402"/>
        <w:jc w:val="center"/>
      </w:pPr>
      <w:r w:rsidRPr="0083404A">
        <w:t>Rady Miasta Torunia</w:t>
      </w:r>
    </w:p>
    <w:p w:rsidR="008C680C" w:rsidRPr="0083404A" w:rsidRDefault="00670F4B" w:rsidP="008C680C">
      <w:pPr>
        <w:ind w:firstLine="3402"/>
        <w:jc w:val="center"/>
      </w:pPr>
      <w:r>
        <w:t>/-/</w:t>
      </w:r>
      <w:bookmarkStart w:id="0" w:name="_GoBack"/>
      <w:bookmarkEnd w:id="0"/>
      <w:r w:rsidR="008C680C" w:rsidRPr="0083404A">
        <w:t>Marcin Czyżniewski</w:t>
      </w:r>
    </w:p>
    <w:sectPr w:rsidR="008C680C" w:rsidRPr="0083404A" w:rsidSect="008C680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D5" w:rsidRDefault="00A538D5">
      <w:r>
        <w:separator/>
      </w:r>
    </w:p>
  </w:endnote>
  <w:endnote w:type="continuationSeparator" w:id="0">
    <w:p w:rsidR="00A538D5" w:rsidRDefault="00A5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Liberation Sans">
    <w:charset w:val="EE"/>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Cambria">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D5" w:rsidRDefault="00A538D5">
      <w:r>
        <w:separator/>
      </w:r>
    </w:p>
  </w:footnote>
  <w:footnote w:type="continuationSeparator" w:id="0">
    <w:p w:rsidR="00A538D5" w:rsidRDefault="00A538D5">
      <w:r>
        <w:continuationSeparator/>
      </w:r>
    </w:p>
  </w:footnote>
  <w:footnote w:id="1">
    <w:p w:rsidR="006E4951" w:rsidRDefault="006E4951">
      <w:pPr>
        <w:pStyle w:val="Tekstprzypisudolnego"/>
        <w:jc w:val="both"/>
      </w:pPr>
      <w:r>
        <w:rPr>
          <w:rStyle w:val="Znakiprzypiswdolnych"/>
          <w:rFonts w:ascii="Liberation Serif" w:hAnsi="Liberation Serif"/>
        </w:rPr>
        <w:footnoteRef/>
      </w:r>
      <w:r>
        <w:t xml:space="preserve"> </w:t>
      </w:r>
      <w:r>
        <w:rPr>
          <w:rFonts w:ascii="Times New Roman" w:hAnsi="Times New Roman"/>
          <w:sz w:val="16"/>
          <w:szCs w:val="16"/>
        </w:rPr>
        <w:t xml:space="preserve">Zmiana tekstu jednolitego wymienionej ustawy została ogłoszona w Dz. U. z 2019 r. poz. 1403, 1495, 1501, 1527, 1579, 1680, 1712, 1815, 2087, 2166, z </w:t>
      </w:r>
      <w:r w:rsidRPr="0069039C">
        <w:rPr>
          <w:rFonts w:ascii="Times New Roman" w:hAnsi="Times New Roman"/>
          <w:sz w:val="16"/>
          <w:szCs w:val="16"/>
        </w:rPr>
        <w:t>2020 r. poz. 284 oraz 695</w:t>
      </w:r>
      <w:r w:rsidR="005A7DB9">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F78"/>
    <w:multiLevelType w:val="hybridMultilevel"/>
    <w:tmpl w:val="20E07D26"/>
    <w:lvl w:ilvl="0" w:tplc="262A8268">
      <w:start w:val="1"/>
      <w:numFmt w:val="decimal"/>
      <w:lvlText w:val="%1)"/>
      <w:lvlJc w:val="left"/>
      <w:pPr>
        <w:ind w:left="502" w:hanging="360"/>
      </w:pPr>
      <w:rPr>
        <w:rFonts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FAB1119"/>
    <w:multiLevelType w:val="hybridMultilevel"/>
    <w:tmpl w:val="F56E45B8"/>
    <w:lvl w:ilvl="0" w:tplc="E020ED6C">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253D48D5"/>
    <w:multiLevelType w:val="hybridMultilevel"/>
    <w:tmpl w:val="A5C88B12"/>
    <w:lvl w:ilvl="0" w:tplc="E020ED6C">
      <w:start w:val="1"/>
      <w:numFmt w:val="lowerLetter"/>
      <w:lvlText w:val="%1)"/>
      <w:lvlJc w:val="left"/>
      <w:pPr>
        <w:ind w:left="1494" w:hanging="360"/>
      </w:pPr>
      <w:rPr>
        <w:rFonts w:hint="default"/>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73111D5A"/>
    <w:multiLevelType w:val="hybridMultilevel"/>
    <w:tmpl w:val="58926A2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9C"/>
    <w:rsid w:val="00074F1F"/>
    <w:rsid w:val="0021008F"/>
    <w:rsid w:val="00297894"/>
    <w:rsid w:val="002D380C"/>
    <w:rsid w:val="00425FED"/>
    <w:rsid w:val="00435A4C"/>
    <w:rsid w:val="00484B26"/>
    <w:rsid w:val="005477E9"/>
    <w:rsid w:val="005A7DB9"/>
    <w:rsid w:val="005D0BD1"/>
    <w:rsid w:val="00670F4B"/>
    <w:rsid w:val="0069039C"/>
    <w:rsid w:val="006E4951"/>
    <w:rsid w:val="0079416D"/>
    <w:rsid w:val="00810AEF"/>
    <w:rsid w:val="00812577"/>
    <w:rsid w:val="0083404A"/>
    <w:rsid w:val="008C680C"/>
    <w:rsid w:val="008C7E72"/>
    <w:rsid w:val="008D61CF"/>
    <w:rsid w:val="009277F6"/>
    <w:rsid w:val="00A538D5"/>
    <w:rsid w:val="00B427EA"/>
    <w:rsid w:val="00B74C9D"/>
    <w:rsid w:val="00BA2B0D"/>
    <w:rsid w:val="00C12CFE"/>
    <w:rsid w:val="00C232D1"/>
    <w:rsid w:val="00C341D4"/>
    <w:rsid w:val="00C87A4E"/>
    <w:rsid w:val="00D52A6A"/>
    <w:rsid w:val="00D963D6"/>
    <w:rsid w:val="00DA59C6"/>
    <w:rsid w:val="00E91737"/>
    <w:rsid w:val="00E96944"/>
    <w:rsid w:val="00F13FEA"/>
    <w:rsid w:val="00FD1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84E3E8"/>
  <w15:docId w15:val="{588856A7-4F5E-401A-88B6-E688536C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9">
    <w:name w:val="heading 9"/>
    <w:basedOn w:val="Normalny"/>
    <w:next w:val="Normalny"/>
    <w:link w:val="Nagwek9Znak"/>
    <w:uiPriority w:val="9"/>
    <w:unhideWhenUsed/>
    <w:qFormat/>
    <w:rsid w:val="00FD121E"/>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Times New Roman" w:eastAsia="Times New Roman" w:hAnsi="Times New Roman" w:cs="Times New Roman"/>
      <w:color w:val="000000"/>
      <w:sz w:val="24"/>
      <w:szCs w:val="24"/>
      <w:lang w:val="pl-PL" w:eastAsia="zh-CN"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3">
    <w:name w:val="Domyślna czcionka akapitu3"/>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2">
    <w:name w:val="Domyślna czcionka akapitu2"/>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styleId="Numerstrony">
    <w:name w:val="page number"/>
    <w:basedOn w:val="Domylnaczcionkaakapitu1"/>
  </w:style>
  <w:style w:type="character" w:customStyle="1" w:styleId="TekstprzypisudolnegoZnak">
    <w:name w:val="Tekst przypisu dolnego Znak"/>
    <w:rPr>
      <w:rFonts w:ascii="Calibri" w:eastAsia="Calibri" w:hAnsi="Calibri" w:cs="Calibri"/>
    </w:rPr>
  </w:style>
  <w:style w:type="character" w:customStyle="1" w:styleId="Znakiprzypiswdolnych">
    <w:name w:val="Znaki przypisów dolnych"/>
    <w:rPr>
      <w:vertAlign w:val="superscript"/>
    </w:rPr>
  </w:style>
  <w:style w:type="character" w:customStyle="1" w:styleId="Znakinumeracji">
    <w:name w:val="Znaki numeracji"/>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3">
    <w:name w:val="Nagłówek3"/>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rPr>
  </w:style>
  <w:style w:type="paragraph" w:styleId="Tekstpodstawowywcity">
    <w:name w:val="Body Text Indent"/>
    <w:basedOn w:val="Normalny"/>
    <w:pPr>
      <w:ind w:left="720"/>
      <w:jc w:val="both"/>
    </w:pPr>
  </w:style>
  <w:style w:type="paragraph" w:customStyle="1" w:styleId="Tekstpodstawowywcity21">
    <w:name w:val="Tekst podstawowy wcięty 21"/>
    <w:basedOn w:val="Normalny"/>
    <w:pPr>
      <w:ind w:left="720" w:hanging="720"/>
      <w:jc w:val="both"/>
    </w:pPr>
  </w:style>
  <w:style w:type="paragraph" w:customStyle="1" w:styleId="Tekstpodstawowywcity31">
    <w:name w:val="Tekst podstawowy wcięty 31"/>
    <w:basedOn w:val="Normalny"/>
    <w:pPr>
      <w:ind w:left="1260" w:hanging="540"/>
      <w:jc w:val="both"/>
    </w:pPr>
  </w:style>
  <w:style w:type="paragraph" w:customStyle="1" w:styleId="Tekstkomentarza1">
    <w:name w:val="Tekst komentarza1"/>
    <w:basedOn w:val="Normalny"/>
    <w:rPr>
      <w:sz w:val="20"/>
      <w:szCs w:val="20"/>
    </w:rPr>
  </w:style>
  <w:style w:type="paragraph" w:customStyle="1" w:styleId="Tekstpodstawowy21">
    <w:name w:val="Tekst podstawowy 21"/>
    <w:basedOn w:val="Normalny"/>
    <w:pPr>
      <w:jc w:val="both"/>
    </w:pPr>
  </w:style>
  <w:style w:type="paragraph" w:styleId="Tekstdymka">
    <w:name w:val="Balloon Text"/>
    <w:basedOn w:val="Normalny"/>
    <w:rPr>
      <w:rFonts w:ascii="Tahoma" w:hAnsi="Tahoma" w:cs="Tahoma"/>
      <w:sz w:val="16"/>
      <w:szCs w:val="16"/>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matkomentarza">
    <w:name w:val="annotation subject"/>
    <w:basedOn w:val="Tekstkomentarza1"/>
    <w:next w:val="Tekstkomentarza1"/>
    <w:rPr>
      <w:b/>
      <w:bCs/>
    </w:rPr>
  </w:style>
  <w:style w:type="paragraph" w:customStyle="1" w:styleId="Tekstpodstawowy31">
    <w:name w:val="Tekst podstawowy 31"/>
    <w:basedOn w:val="Normalny"/>
    <w:pPr>
      <w:spacing w:after="120"/>
    </w:pPr>
    <w:rPr>
      <w:sz w:val="16"/>
      <w:szCs w:val="16"/>
    </w:rPr>
  </w:style>
  <w:style w:type="paragraph" w:styleId="Akapitzlist">
    <w:name w:val="List Paragraph"/>
    <w:basedOn w:val="Normalny"/>
    <w:qFormat/>
    <w:pPr>
      <w:spacing w:after="200" w:line="276" w:lineRule="auto"/>
      <w:ind w:left="720"/>
      <w:contextualSpacing/>
    </w:pPr>
    <w:rPr>
      <w:rFonts w:ascii="Calibri" w:eastAsia="Calibri" w:hAnsi="Calibri" w:cs="Calibri"/>
      <w:sz w:val="22"/>
      <w:szCs w:val="22"/>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styleId="Tekstprzypisudolnego">
    <w:name w:val="footnote text"/>
    <w:basedOn w:val="Normalny"/>
    <w:rPr>
      <w:rFonts w:ascii="Calibri" w:eastAsia="Calibri" w:hAnsi="Calibri"/>
      <w:sz w:val="20"/>
      <w:szCs w:val="20"/>
    </w:rPr>
  </w:style>
  <w:style w:type="character" w:customStyle="1" w:styleId="Nagwek9Znak">
    <w:name w:val="Nagłówek 9 Znak"/>
    <w:link w:val="Nagwek9"/>
    <w:uiPriority w:val="9"/>
    <w:rsid w:val="00FD121E"/>
    <w:rPr>
      <w:rFonts w:ascii="Calibri Light" w:eastAsia="Times New Roman" w:hAnsi="Calibri Light" w:cs="Times New Roman"/>
      <w:sz w:val="22"/>
      <w:szCs w:val="22"/>
      <w:lang w:eastAsia="zh-CN"/>
    </w:rPr>
  </w:style>
  <w:style w:type="paragraph" w:styleId="Tekstpodstawowywcity2">
    <w:name w:val="Body Text Indent 2"/>
    <w:basedOn w:val="Normalny"/>
    <w:link w:val="Tekstpodstawowywcity2Znak"/>
    <w:uiPriority w:val="99"/>
    <w:unhideWhenUsed/>
    <w:rsid w:val="00BA2B0D"/>
    <w:pPr>
      <w:suppressAutoHyphens w:val="0"/>
      <w:ind w:left="1440"/>
      <w:jc w:val="both"/>
    </w:pPr>
    <w:rPr>
      <w:color w:val="000000"/>
      <w:lang w:eastAsia="pl-PL"/>
    </w:rPr>
  </w:style>
  <w:style w:type="character" w:customStyle="1" w:styleId="Tekstpodstawowywcity2Znak">
    <w:name w:val="Tekst podstawowy wcięty 2 Znak"/>
    <w:link w:val="Tekstpodstawowywcity2"/>
    <w:uiPriority w:val="99"/>
    <w:rsid w:val="00BA2B0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6764">
      <w:bodyDiv w:val="1"/>
      <w:marLeft w:val="0"/>
      <w:marRight w:val="0"/>
      <w:marTop w:val="0"/>
      <w:marBottom w:val="0"/>
      <w:divBdr>
        <w:top w:val="none" w:sz="0" w:space="0" w:color="auto"/>
        <w:left w:val="none" w:sz="0" w:space="0" w:color="auto"/>
        <w:bottom w:val="none" w:sz="0" w:space="0" w:color="auto"/>
        <w:right w:val="none" w:sz="0" w:space="0" w:color="auto"/>
      </w:divBdr>
    </w:div>
    <w:div w:id="12484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6420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b.czerwonka</cp:lastModifiedBy>
  <cp:revision>2</cp:revision>
  <cp:lastPrinted>2020-06-05T09:31:00Z</cp:lastPrinted>
  <dcterms:created xsi:type="dcterms:W3CDTF">2020-10-15T06:40:00Z</dcterms:created>
  <dcterms:modified xsi:type="dcterms:W3CDTF">2020-10-15T06:40:00Z</dcterms:modified>
</cp:coreProperties>
</file>