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7707" w:rsidRPr="00800910" w:rsidRDefault="00227707" w:rsidP="00227707">
      <w:pPr>
        <w:spacing w:after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UCHWAŁA NR 57</w:t>
      </w:r>
      <w:r w:rsidR="003679EC">
        <w:rPr>
          <w:rFonts w:ascii="Times New Roman" w:hAnsi="Times New Roman"/>
          <w:color w:val="auto"/>
          <w:sz w:val="23"/>
          <w:szCs w:val="23"/>
        </w:rPr>
        <w:t>4</w:t>
      </w:r>
      <w:r w:rsidRPr="00800910">
        <w:rPr>
          <w:rFonts w:ascii="Times New Roman" w:hAnsi="Times New Roman"/>
          <w:color w:val="auto"/>
          <w:sz w:val="23"/>
          <w:szCs w:val="23"/>
        </w:rPr>
        <w:t>/21</w:t>
      </w:r>
    </w:p>
    <w:p w:rsidR="00227707" w:rsidRPr="00800910" w:rsidRDefault="00227707" w:rsidP="00227707">
      <w:pPr>
        <w:spacing w:after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RADY MIASTA TORUNIA</w:t>
      </w:r>
    </w:p>
    <w:p w:rsidR="00227707" w:rsidRPr="00800910" w:rsidRDefault="00227707" w:rsidP="00227707">
      <w:pPr>
        <w:spacing w:after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z dnia 18 lutego 2021 r.</w:t>
      </w: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bCs/>
          <w:color w:val="auto"/>
          <w:sz w:val="23"/>
          <w:szCs w:val="23"/>
        </w:rPr>
      </w:pP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zmieniająca uchwałę </w:t>
      </w:r>
      <w:r w:rsidRPr="00800910">
        <w:rPr>
          <w:rFonts w:ascii="Times New Roman" w:hAnsi="Times New Roman"/>
          <w:bCs/>
          <w:color w:val="auto"/>
          <w:sz w:val="23"/>
          <w:szCs w:val="23"/>
        </w:rPr>
        <w:t>w sprawie zasad wynajmowania lokali użytkowych, garaży, powierzchni pod reklamę oraz nieruchomości lub ich części stanowiących własność Gminy Miasta Toruń, którymi gospodaruje Zakład Gospodarki Mieszkaniowej w Toruniu</w:t>
      </w:r>
      <w:r w:rsidR="00800910" w:rsidRPr="00800910">
        <w:rPr>
          <w:rFonts w:ascii="Times New Roman" w:hAnsi="Times New Roman"/>
          <w:bCs/>
          <w:color w:val="auto"/>
          <w:sz w:val="23"/>
          <w:szCs w:val="23"/>
        </w:rPr>
        <w:t>.</w:t>
      </w: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Na podstawie art. 18 ust. 2 pkt 9 lit. a i art. 40 ust. 2 pkt 3 i art. 41 ust. 1 ustawy z dnia 8</w:t>
      </w:r>
      <w:r w:rsidR="00800910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marca 1990 r. o samorz</w:t>
      </w:r>
      <w:r w:rsidR="00800910" w:rsidRPr="00800910">
        <w:rPr>
          <w:rFonts w:ascii="Times New Roman" w:hAnsi="Times New Roman"/>
          <w:color w:val="auto"/>
          <w:sz w:val="23"/>
          <w:szCs w:val="23"/>
        </w:rPr>
        <w:t>ądzie gminnym (Dz. U. z 2020 r.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 poz. 713 z </w:t>
      </w:r>
      <w:proofErr w:type="spellStart"/>
      <w:r w:rsidRPr="00800910">
        <w:rPr>
          <w:rFonts w:ascii="Times New Roman" w:hAnsi="Times New Roman"/>
          <w:color w:val="auto"/>
          <w:sz w:val="23"/>
          <w:szCs w:val="23"/>
        </w:rPr>
        <w:t>późn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>. zm.</w:t>
      </w:r>
      <w:r w:rsidRPr="00800910">
        <w:rPr>
          <w:rStyle w:val="Odwoanieprzypisudolnego"/>
          <w:rFonts w:ascii="Times New Roman" w:hAnsi="Times New Roman"/>
          <w:color w:val="auto"/>
          <w:sz w:val="23"/>
          <w:szCs w:val="23"/>
        </w:rPr>
        <w:footnoteReference w:id="1"/>
      </w:r>
      <w:r w:rsidRPr="00800910">
        <w:rPr>
          <w:rFonts w:ascii="Times New Roman" w:hAnsi="Times New Roman"/>
          <w:color w:val="auto"/>
          <w:sz w:val="23"/>
          <w:szCs w:val="23"/>
        </w:rPr>
        <w:t>) uchwala się, co następuje:</w:t>
      </w: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22770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§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1. W uchwale nr 414/12 Rady Miasta Torunia z dnia 25 października 2012 r. </w:t>
      </w:r>
      <w:r w:rsidRPr="00800910">
        <w:rPr>
          <w:rFonts w:ascii="Times New Roman" w:hAnsi="Times New Roman"/>
          <w:bCs/>
          <w:color w:val="auto"/>
          <w:sz w:val="23"/>
          <w:szCs w:val="23"/>
        </w:rPr>
        <w:t>w sprawie zasad wynajmowania lokali użytkowych, garaży, powierzchni pod reklamę oraz nieruchomości lub ich części stanowiących własność Gminy Miasta Toruń, którymi gospodaruje Zakład Gospodarki Mieszkaniowej w Toruniu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 (Dz. Urz. Woj. Kujawsko-Pomorskiego z 2020 r. poz. 3210</w:t>
      </w:r>
      <w:r w:rsidRPr="00800910">
        <w:rPr>
          <w:rStyle w:val="Odwoanieprzypisudolnego"/>
          <w:rFonts w:ascii="Times New Roman" w:hAnsi="Times New Roman"/>
          <w:color w:val="auto"/>
          <w:sz w:val="23"/>
          <w:szCs w:val="23"/>
        </w:rPr>
        <w:footnoteReference w:id="2"/>
      </w:r>
      <w:r w:rsidRPr="00800910">
        <w:rPr>
          <w:rFonts w:ascii="Times New Roman" w:hAnsi="Times New Roman"/>
          <w:color w:val="auto"/>
          <w:sz w:val="23"/>
          <w:szCs w:val="23"/>
        </w:rPr>
        <w:t>) wprowadza się następujące zmiany:</w:t>
      </w:r>
    </w:p>
    <w:p w:rsidR="0069483F" w:rsidRPr="00800910" w:rsidRDefault="0069483F" w:rsidP="00227707">
      <w:pPr>
        <w:pStyle w:val="Normalny1"/>
        <w:numPr>
          <w:ilvl w:val="0"/>
          <w:numId w:val="1"/>
        </w:numPr>
        <w:tabs>
          <w:tab w:val="clear" w:pos="0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po § 8a dodaje się § 8b w brzmieniu: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„§ 8b. 1. Stawki czynszu za lokale użytkowe położone na obszarze określonym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w załączniku nr 5 do uchwały, wynajmowa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ne przez mikroprzedsiębiorstwa </w:t>
      </w:r>
      <w:r w:rsidRPr="00800910">
        <w:rPr>
          <w:rFonts w:ascii="Times New Roman" w:hAnsi="Times New Roman"/>
          <w:color w:val="auto"/>
          <w:sz w:val="23"/>
          <w:szCs w:val="23"/>
        </w:rPr>
        <w:t>na prowadzenie działalności gospodarczej, określonej w załączniku nr 6 do uchwały, mogą być obniżone na wniosek najemcy, nie więcej jednak niż o 30%.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2. Mikroprzedsiębiorstwem o jakim mowa w niniejszej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uchwale jest przedsiębiorstwo </w:t>
      </w:r>
      <w:r w:rsidR="00800910" w:rsidRPr="00800910">
        <w:rPr>
          <w:rFonts w:ascii="Times New Roman" w:hAnsi="Times New Roman"/>
          <w:color w:val="auto"/>
          <w:sz w:val="23"/>
          <w:szCs w:val="23"/>
        </w:rPr>
        <w:t>w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rozumieniu załącznika I do rozporządzenia Komisji (WE) Nr </w:t>
      </w:r>
      <w:r w:rsidR="008803B4">
        <w:rPr>
          <w:rFonts w:ascii="Times New Roman" w:hAnsi="Times New Roman"/>
          <w:color w:val="auto"/>
          <w:sz w:val="23"/>
          <w:szCs w:val="23"/>
        </w:rPr>
        <w:t>651/2014 z dnia 17 czerwca 2014 </w:t>
      </w:r>
      <w:r w:rsidRPr="00800910">
        <w:rPr>
          <w:rFonts w:ascii="Times New Roman" w:hAnsi="Times New Roman"/>
          <w:color w:val="auto"/>
          <w:sz w:val="23"/>
          <w:szCs w:val="23"/>
        </w:rPr>
        <w:t>r. uznającego niektóre rodzaje pomocy za zgodne z rynkiem wewnętrznym w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zastosowaniu art. 107 i </w:t>
      </w:r>
      <w:r w:rsidRPr="00800910">
        <w:rPr>
          <w:rFonts w:ascii="Times New Roman" w:hAnsi="Times New Roman"/>
          <w:color w:val="auto"/>
          <w:sz w:val="23"/>
          <w:szCs w:val="23"/>
        </w:rPr>
        <w:t>108 Traktatu (Dz. Urz. UE L 187/1 z 26 czerwca 2014 r.).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3. Przepisy niniejszego paragrafu stosuje się z uwzględnieniem przepisów o pomocy publicznej. Udzielenie pomocy publicznej wymaga spełnienia warunków udzielenia pomocy </w:t>
      </w:r>
      <w:r w:rsidR="008803B4">
        <w:rPr>
          <w:rFonts w:ascii="Times New Roman" w:hAnsi="Times New Roman"/>
          <w:i/>
          <w:color w:val="auto"/>
          <w:sz w:val="23"/>
          <w:szCs w:val="23"/>
        </w:rPr>
        <w:t>de 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>, określonych w szczególności w rozporządzeniu Komisji (UE) nr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803B4">
        <w:rPr>
          <w:rFonts w:ascii="Times New Roman" w:hAnsi="Times New Roman"/>
          <w:color w:val="auto"/>
          <w:sz w:val="23"/>
          <w:szCs w:val="23"/>
        </w:rPr>
        <w:t>1407/2013 z dnia 18 </w:t>
      </w:r>
      <w:r w:rsidRPr="00800910">
        <w:rPr>
          <w:rFonts w:ascii="Times New Roman" w:hAnsi="Times New Roman"/>
          <w:color w:val="auto"/>
          <w:sz w:val="23"/>
          <w:szCs w:val="23"/>
        </w:rPr>
        <w:t>grudnia 2013 r. w sprawie stosowania art. 107 i 108 Traktatu o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funkcjonowaniu Unii Europejskiej do pomocy </w:t>
      </w:r>
      <w:r w:rsidRPr="00800910">
        <w:rPr>
          <w:rFonts w:ascii="Times New Roman" w:hAnsi="Times New Roman"/>
          <w:i/>
          <w:color w:val="auto"/>
          <w:sz w:val="23"/>
          <w:szCs w:val="23"/>
        </w:rPr>
        <w:t xml:space="preserve">de 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 xml:space="preserve"> (Dz.U.UE.L.2013.352.1 z dnia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24 grudnia 2013 r.), ustawie z </w:t>
      </w:r>
      <w:r w:rsidRPr="00800910">
        <w:rPr>
          <w:rFonts w:ascii="Times New Roman" w:hAnsi="Times New Roman"/>
          <w:color w:val="auto"/>
          <w:sz w:val="23"/>
          <w:szCs w:val="23"/>
        </w:rPr>
        <w:t>dnia 30 kwietnia 2004 r. o postępowaniu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w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sprawach dotycząc</w:t>
      </w:r>
      <w:r w:rsidR="008803B4">
        <w:rPr>
          <w:rFonts w:ascii="Times New Roman" w:hAnsi="Times New Roman"/>
          <w:color w:val="auto"/>
          <w:sz w:val="23"/>
          <w:szCs w:val="23"/>
        </w:rPr>
        <w:t>ych pomocy publicznej (Dz. U. z </w:t>
      </w:r>
      <w:r w:rsidRPr="00800910">
        <w:rPr>
          <w:rFonts w:ascii="Times New Roman" w:hAnsi="Times New Roman"/>
          <w:color w:val="auto"/>
          <w:sz w:val="23"/>
          <w:szCs w:val="23"/>
        </w:rPr>
        <w:t>2020 r. poz. 708, poz. 2377) i rozporządzeniu Rady Ministrów z 29 marca 2010 r. w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sprawie zakresu informacji przedstawianych przez podmiot ubiegający się o pomoc </w:t>
      </w:r>
      <w:r w:rsidR="00800910" w:rsidRPr="00800910">
        <w:rPr>
          <w:rFonts w:ascii="Times New Roman" w:hAnsi="Times New Roman"/>
          <w:i/>
          <w:color w:val="auto"/>
          <w:sz w:val="23"/>
          <w:szCs w:val="23"/>
        </w:rPr>
        <w:t>de 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="008803B4">
        <w:rPr>
          <w:rFonts w:ascii="Times New Roman" w:hAnsi="Times New Roman"/>
          <w:color w:val="auto"/>
          <w:sz w:val="23"/>
          <w:szCs w:val="23"/>
        </w:rPr>
        <w:t xml:space="preserve"> (Dz. U. z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2010 r. Nr 53, poz. 311, z 2013 r. poz. 276 oraz z 2014 r. poz. 1543). 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bookmarkStart w:id="0" w:name="__UnoMark__2665_1983286671"/>
      <w:bookmarkEnd w:id="0"/>
      <w:r w:rsidRPr="00800910">
        <w:rPr>
          <w:rFonts w:ascii="Times New Roman" w:hAnsi="Times New Roman"/>
          <w:color w:val="auto"/>
          <w:sz w:val="23"/>
          <w:szCs w:val="23"/>
        </w:rPr>
        <w:t>4. Stawka czynszu obniżona na podstawie niniejszego paragrafu obowiązuje przez okres kolejnych 12 miesięcy kalendarzowych, pod warunkiem, że przedsiębiorca w tym okresie, nie zmienił przedmiotu działalności na inny, który nie uprawnia do obniżki zgodnie z ust.1.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5. Kolejne obniżki stawki stosuje się na wniosek najemcy przez następne okresy dwunastomiesięczne, jeżeli przedsiębiorca złoży oświadczenie, o dalszym prowadzeniu działalności w branży określonej w załączniku nr 6 do uchwały.”;</w:t>
      </w:r>
    </w:p>
    <w:p w:rsidR="0069483F" w:rsidRPr="00800910" w:rsidRDefault="0069483F" w:rsidP="00227707">
      <w:pPr>
        <w:numPr>
          <w:ilvl w:val="0"/>
          <w:numId w:val="1"/>
        </w:numPr>
        <w:tabs>
          <w:tab w:val="clear" w:pos="0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bookmarkStart w:id="1" w:name="_Hlk39563228"/>
      <w:bookmarkEnd w:id="1"/>
      <w:r w:rsidRPr="00800910">
        <w:rPr>
          <w:rFonts w:ascii="Times New Roman" w:hAnsi="Times New Roman"/>
          <w:color w:val="auto"/>
          <w:sz w:val="23"/>
          <w:szCs w:val="23"/>
        </w:rPr>
        <w:t>po § 9b dodaje się § 9c w brzmieniu: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„§ 9c. 1. Najemcom, którym ze względu na  epidemię COVID-19, na mocy przepisów powszechnie obowiązujących, zakazano lub ograniczono prowadzenie działalności gospodarczej lub statutowej w przypadku organizacji, udziela się obniżek obowiązujących stawek czynszu za najem  lo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kalu, na warunkach wskazanych w </w:t>
      </w:r>
      <w:r w:rsidRPr="00800910">
        <w:rPr>
          <w:rFonts w:ascii="Times New Roman" w:hAnsi="Times New Roman"/>
          <w:color w:val="auto"/>
          <w:sz w:val="23"/>
          <w:szCs w:val="23"/>
        </w:rPr>
        <w:t>ust.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2-7, </w:t>
      </w:r>
      <w:r w:rsidRPr="00800910">
        <w:rPr>
          <w:rFonts w:ascii="Times New Roman" w:hAnsi="Times New Roman"/>
          <w:color w:val="auto"/>
          <w:sz w:val="23"/>
          <w:szCs w:val="23"/>
        </w:rPr>
        <w:t>które muszą być spełnione łącznie.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2. Obniżka czynszu za okres od 1 marca 2021 r. do 30 kwietnia 2021 r. jest udzielana najemcy lokalu gminnego, który :</w:t>
      </w:r>
    </w:p>
    <w:p w:rsidR="0069483F" w:rsidRPr="00800910" w:rsidRDefault="0069483F" w:rsidP="00227707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zaprzestał prowadzenia działalności gospodarczej lub statutowej, bądź istotnie ograniczył zakres tej działalności w wynajmowanym lokalu, co najmniej w jednym z miesięcy w okresie od 1 grudnia 2020 r. do 30 kwietnia 2021 r.; </w:t>
      </w:r>
    </w:p>
    <w:p w:rsidR="0069483F" w:rsidRPr="00800910" w:rsidRDefault="0069483F" w:rsidP="00227707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lastRenderedPageBreak/>
        <w:t>wykazał, że w miesiącu bezpośrednio poprzedzając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ym złożenie wniosku, odnotował </w:t>
      </w:r>
      <w:r w:rsidRPr="00800910">
        <w:rPr>
          <w:rFonts w:ascii="Times New Roman" w:hAnsi="Times New Roman"/>
          <w:color w:val="auto"/>
          <w:sz w:val="23"/>
          <w:szCs w:val="23"/>
        </w:rPr>
        <w:t>wskutek przepisów, o których mowa w ust. 1, spadek  łącznych przychodów z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całokształtu prowadzonej działalności lub spadek przychod</w:t>
      </w:r>
      <w:r w:rsidR="008803B4">
        <w:rPr>
          <w:rFonts w:ascii="Times New Roman" w:hAnsi="Times New Roman"/>
          <w:color w:val="auto"/>
          <w:sz w:val="23"/>
          <w:szCs w:val="23"/>
        </w:rPr>
        <w:t>ów z działalności prowadzonej w </w:t>
      </w:r>
      <w:r w:rsidRPr="00800910">
        <w:rPr>
          <w:rFonts w:ascii="Times New Roman" w:hAnsi="Times New Roman"/>
          <w:color w:val="auto"/>
          <w:sz w:val="23"/>
          <w:szCs w:val="23"/>
        </w:rPr>
        <w:t>wynajmowanym lokalu - wynoszący nie mniej, niż 40%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takich przychodów uzyskanych w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analogicznym okresie roku 2019. 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3. Obniżka dotyczy czynszu za miesiąc, w którym najem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ca wystąpił z wnioskiem i jest </w:t>
      </w:r>
      <w:r w:rsidRPr="00800910">
        <w:rPr>
          <w:rFonts w:ascii="Times New Roman" w:hAnsi="Times New Roman"/>
          <w:color w:val="auto"/>
          <w:sz w:val="23"/>
          <w:szCs w:val="23"/>
        </w:rPr>
        <w:t>stosowana wobec najemcy, który wynajmuje:</w:t>
      </w:r>
    </w:p>
    <w:p w:rsidR="0069483F" w:rsidRPr="00800910" w:rsidRDefault="00880462" w:rsidP="00227707">
      <w:pPr>
        <w:pStyle w:val="Akapitzlist"/>
        <w:numPr>
          <w:ilvl w:val="0"/>
          <w:numId w:val="9"/>
        </w:numPr>
        <w:spacing w:after="0" w:line="240" w:lineRule="auto"/>
        <w:ind w:left="567" w:hanging="425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lokal </w:t>
      </w:r>
      <w:r w:rsidR="0069483F" w:rsidRPr="00800910">
        <w:rPr>
          <w:rFonts w:ascii="Times New Roman" w:hAnsi="Times New Roman"/>
          <w:color w:val="auto"/>
          <w:sz w:val="23"/>
          <w:szCs w:val="23"/>
        </w:rPr>
        <w:t>lub lokal i teren przyległy w celu prowadz</w:t>
      </w:r>
      <w:r>
        <w:rPr>
          <w:rFonts w:ascii="Times New Roman" w:hAnsi="Times New Roman"/>
          <w:color w:val="auto"/>
          <w:sz w:val="23"/>
          <w:szCs w:val="23"/>
        </w:rPr>
        <w:t>enia  działalności gospodarczej</w:t>
      </w:r>
      <w:r w:rsidR="0069483F" w:rsidRPr="00800910">
        <w:rPr>
          <w:rFonts w:ascii="Times New Roman" w:hAnsi="Times New Roman"/>
          <w:color w:val="auto"/>
          <w:sz w:val="23"/>
          <w:szCs w:val="23"/>
        </w:rPr>
        <w:t xml:space="preserve"> lub</w:t>
      </w:r>
    </w:p>
    <w:p w:rsidR="0069483F" w:rsidRPr="00800910" w:rsidRDefault="0069483F" w:rsidP="00227707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lokal na cele statutowe, posiada status organizacji, </w:t>
      </w:r>
    </w:p>
    <w:p w:rsidR="0069483F" w:rsidRPr="00800910" w:rsidRDefault="0069483F" w:rsidP="00227707">
      <w:pPr>
        <w:pStyle w:val="Bezodstpw1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- oraz w chwili składania wniosku, a według stanu na ostatni dzień miesiąca poprzedzającego miesiąc składania wniosku, jego zadłużenie nie jest wyższe niż 10% kwoty odpowiadającej wartości miesięcznego czynszu najmu przyjętego w umowie. 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bookmarkStart w:id="2" w:name="_Hlk395632281"/>
      <w:bookmarkEnd w:id="2"/>
      <w:r w:rsidRPr="00800910">
        <w:rPr>
          <w:rFonts w:ascii="Times New Roman" w:hAnsi="Times New Roman"/>
          <w:color w:val="auto"/>
          <w:sz w:val="23"/>
          <w:szCs w:val="23"/>
        </w:rPr>
        <w:t>4. Wnioski o udzielenie obniżki  czynszu  należy składać nie później niż do dziesiątego dnia miesiąca następującego po miesiącu, w którym nastąpiło spełnienie warunków wskazany</w:t>
      </w:r>
      <w:r w:rsidR="008803B4">
        <w:rPr>
          <w:rFonts w:ascii="Times New Roman" w:hAnsi="Times New Roman"/>
          <w:color w:val="auto"/>
          <w:sz w:val="23"/>
          <w:szCs w:val="23"/>
        </w:rPr>
        <w:t>ch w ust.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2.  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5. Z zastrzeżeniem ust. 6, obniżki czynszu  będą udzielane w wysokości 90% stawki wynikającej z umowy najmu po uwzględnieniu obniżek, o których mowa w § 8 i § 8b.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6. Obniżki stawek czynszu, o których mowa w ust. 1-5 w przypadku lokali położonych w budynkach, gdzie istnieją wspólnoty mie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szkaniowe nie mogą powodować, </w:t>
      </w:r>
      <w:r w:rsidRPr="00800910">
        <w:rPr>
          <w:rFonts w:ascii="Times New Roman" w:hAnsi="Times New Roman"/>
          <w:color w:val="auto"/>
          <w:sz w:val="23"/>
          <w:szCs w:val="23"/>
        </w:rPr>
        <w:t>że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obniżony czynsz będzie niższy od sumy zaliczek na koszty eksploatacyjne i fundusz remontowy obciążających Zakład.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7. Przepisy niniejszego paragrafu stosuje się z uwzględnieniem przepisów o pomocy publicznej. Udzielenie pomocy publicznej wymaga spełnienia warunków udzielenia pomocy </w:t>
      </w:r>
      <w:r w:rsidR="008803B4">
        <w:rPr>
          <w:rFonts w:ascii="Times New Roman" w:hAnsi="Times New Roman"/>
          <w:i/>
          <w:color w:val="auto"/>
          <w:sz w:val="23"/>
          <w:szCs w:val="23"/>
        </w:rPr>
        <w:t>de 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>, określonych w szczególności w rozporządzeniu Komi</w:t>
      </w:r>
      <w:r w:rsidR="008803B4">
        <w:rPr>
          <w:rFonts w:ascii="Times New Roman" w:hAnsi="Times New Roman"/>
          <w:color w:val="auto"/>
          <w:sz w:val="23"/>
          <w:szCs w:val="23"/>
        </w:rPr>
        <w:t>sji (UE) nr 1407/2013 z dnia 18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grudnia 2013 r. w sprawie stosowania art. 107 i 108 Traktatu o funkcjonowaniu Unii Europejskiej do pomocy </w:t>
      </w:r>
      <w:r w:rsidRPr="00800910">
        <w:rPr>
          <w:rFonts w:ascii="Times New Roman" w:hAnsi="Times New Roman"/>
          <w:i/>
          <w:color w:val="auto"/>
          <w:sz w:val="23"/>
          <w:szCs w:val="23"/>
        </w:rPr>
        <w:t xml:space="preserve">de 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 xml:space="preserve"> (Dz.U.UE.L.2013.352.1 z dnia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24 grudnia 2013 r.), ustawie z </w:t>
      </w:r>
      <w:r w:rsidRPr="00800910">
        <w:rPr>
          <w:rFonts w:ascii="Times New Roman" w:hAnsi="Times New Roman"/>
          <w:color w:val="auto"/>
          <w:sz w:val="23"/>
          <w:szCs w:val="23"/>
        </w:rPr>
        <w:t>dnia 30 kwietnia 2004 r. o postępowaniu w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sprawach dotycząc</w:t>
      </w:r>
      <w:r w:rsidR="008803B4">
        <w:rPr>
          <w:rFonts w:ascii="Times New Roman" w:hAnsi="Times New Roman"/>
          <w:color w:val="auto"/>
          <w:sz w:val="23"/>
          <w:szCs w:val="23"/>
        </w:rPr>
        <w:t>ych pomocy publicznej (Dz. U. z 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2020 r. poz. 708, poz. 2377) i rozporządzeniu Rady Ministrów z 29 marca 2010 r. w sprawie zakresu informacji przedstawianych przez podmiot ubiegający się o pomoc </w:t>
      </w:r>
      <w:r w:rsidRPr="00800910">
        <w:rPr>
          <w:rFonts w:ascii="Times New Roman" w:hAnsi="Times New Roman"/>
          <w:i/>
          <w:color w:val="auto"/>
          <w:sz w:val="23"/>
          <w:szCs w:val="23"/>
        </w:rPr>
        <w:t>de </w:t>
      </w:r>
      <w:proofErr w:type="spellStart"/>
      <w:r w:rsidRPr="00800910">
        <w:rPr>
          <w:rFonts w:ascii="Times New Roman" w:hAnsi="Times New Roman"/>
          <w:i/>
          <w:color w:val="auto"/>
          <w:sz w:val="23"/>
          <w:szCs w:val="23"/>
        </w:rPr>
        <w:t>minimis</w:t>
      </w:r>
      <w:proofErr w:type="spellEnd"/>
      <w:r w:rsidRPr="00800910">
        <w:rPr>
          <w:rFonts w:ascii="Times New Roman" w:hAnsi="Times New Roman"/>
          <w:color w:val="auto"/>
          <w:sz w:val="23"/>
          <w:szCs w:val="23"/>
        </w:rPr>
        <w:t xml:space="preserve"> (Dz.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U.</w:t>
      </w:r>
      <w:r w:rsidR="008803B4">
        <w:rPr>
          <w:rFonts w:ascii="Times New Roman" w:hAnsi="Times New Roman"/>
          <w:color w:val="auto"/>
          <w:sz w:val="23"/>
          <w:szCs w:val="23"/>
        </w:rPr>
        <w:t xml:space="preserve"> z </w:t>
      </w:r>
      <w:r w:rsidRPr="00800910">
        <w:rPr>
          <w:rFonts w:ascii="Times New Roman" w:hAnsi="Times New Roman"/>
          <w:color w:val="auto"/>
          <w:sz w:val="23"/>
          <w:szCs w:val="23"/>
        </w:rPr>
        <w:t>2010 r.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Nr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53, poz. 311, z 2013 r. poz. 276 oraz z 2014 r. poz. 1543). 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8. Wzór wniosku o udzielenie obniżki czynszu, stanowi załącznik nr 7 do uchwały.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9. Za zadłużenie, o którym mowa w ust. 3 nie uważa się rozłożenia należności na raty lub odroczenia terminu jej płatności.”;</w:t>
      </w:r>
    </w:p>
    <w:p w:rsidR="0069483F" w:rsidRPr="00800910" w:rsidRDefault="0069483F" w:rsidP="00227707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§ 11 otrzymuje nowe brzmienie o następującej treści</w:t>
      </w:r>
      <w:r w:rsidR="00880462">
        <w:rPr>
          <w:rFonts w:ascii="Times New Roman" w:hAnsi="Times New Roman"/>
          <w:color w:val="auto"/>
          <w:sz w:val="23"/>
          <w:szCs w:val="23"/>
        </w:rPr>
        <w:t>:</w:t>
      </w:r>
    </w:p>
    <w:p w:rsidR="0069483F" w:rsidRPr="00800910" w:rsidRDefault="0069483F" w:rsidP="00227707">
      <w:pPr>
        <w:pStyle w:val="Bezodstpw1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„§ 11. Prezydent składa Radzie Miasta Torunia w terminie do 31 marca każdego roku, informację z realizacji § 8 i § 8b uchwały za rok ubiegły.”;</w:t>
      </w:r>
    </w:p>
    <w:p w:rsidR="0069483F" w:rsidRPr="00800910" w:rsidRDefault="0069483F" w:rsidP="00227707">
      <w:pPr>
        <w:pStyle w:val="Normalny1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dodaje się załączniki nr 5, 6 i 7, o treści zgodnej z odpowiednio załącznikami nr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1,</w:t>
      </w:r>
      <w:r w:rsidR="00227707" w:rsidRPr="0080091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800910">
        <w:rPr>
          <w:rFonts w:ascii="Times New Roman" w:hAnsi="Times New Roman"/>
          <w:color w:val="auto"/>
          <w:sz w:val="23"/>
          <w:szCs w:val="23"/>
        </w:rPr>
        <w:t>2 i 3 do niniejszej uchwały.</w:t>
      </w:r>
    </w:p>
    <w:p w:rsidR="0069483F" w:rsidRPr="00800910" w:rsidRDefault="0069483F" w:rsidP="00227707">
      <w:pPr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22770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§ 2.Wykonanie uchwały powierza się Prezydentowi Miasta Torunia.</w:t>
      </w:r>
    </w:p>
    <w:p w:rsidR="0069483F" w:rsidRPr="00800910" w:rsidRDefault="0069483F" w:rsidP="00227707">
      <w:pPr>
        <w:pStyle w:val="Akapitzlist1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8803B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§ 3. 1. Przepis § 8b uchwały zmienianej w § 1 obowiązuje do dnia 31 grudnia 2023 r.</w:t>
      </w:r>
    </w:p>
    <w:p w:rsidR="0069483F" w:rsidRPr="00800910" w:rsidRDefault="0069483F" w:rsidP="008803B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 xml:space="preserve">2. Przepis § 9c uchwały zmienianej w § 1 obowiązuje do dnia 30 maja 2021 r., </w:t>
      </w:r>
      <w:r w:rsidR="00800910" w:rsidRPr="00800910">
        <w:rPr>
          <w:rFonts w:ascii="Times New Roman" w:hAnsi="Times New Roman"/>
          <w:color w:val="auto"/>
          <w:sz w:val="23"/>
          <w:szCs w:val="23"/>
        </w:rPr>
        <w:t>z </w:t>
      </w:r>
      <w:r w:rsidRPr="00800910">
        <w:rPr>
          <w:rFonts w:ascii="Times New Roman" w:hAnsi="Times New Roman"/>
          <w:color w:val="auto"/>
          <w:sz w:val="23"/>
          <w:szCs w:val="23"/>
        </w:rPr>
        <w:t>zastrzeżeniem, że ostatnim miesiącem, za który obniżka może by</w:t>
      </w:r>
      <w:r w:rsidR="008803B4">
        <w:rPr>
          <w:rFonts w:ascii="Times New Roman" w:hAnsi="Times New Roman"/>
          <w:color w:val="auto"/>
          <w:sz w:val="23"/>
          <w:szCs w:val="23"/>
        </w:rPr>
        <w:t>ć udzielona jest kwiecień 2021 </w:t>
      </w:r>
      <w:r w:rsidRPr="00800910">
        <w:rPr>
          <w:rFonts w:ascii="Times New Roman" w:hAnsi="Times New Roman"/>
          <w:color w:val="auto"/>
          <w:sz w:val="23"/>
          <w:szCs w:val="23"/>
        </w:rPr>
        <w:t>r.</w:t>
      </w:r>
    </w:p>
    <w:p w:rsidR="008803B4" w:rsidRDefault="008803B4" w:rsidP="008803B4">
      <w:pPr>
        <w:pStyle w:val="western"/>
        <w:spacing w:before="0"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8803B4">
      <w:pPr>
        <w:pStyle w:val="western"/>
        <w:spacing w:before="0"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§</w:t>
      </w:r>
      <w:r w:rsidR="00880462">
        <w:rPr>
          <w:rFonts w:ascii="Times New Roman" w:hAnsi="Times New Roman"/>
          <w:color w:val="auto"/>
          <w:sz w:val="23"/>
          <w:szCs w:val="23"/>
        </w:rPr>
        <w:t xml:space="preserve"> 4. Uchwała wchodzi w życie dniem</w:t>
      </w:r>
      <w:r w:rsidRPr="00800910">
        <w:rPr>
          <w:rFonts w:ascii="Times New Roman" w:hAnsi="Times New Roman"/>
          <w:color w:val="auto"/>
          <w:sz w:val="23"/>
          <w:szCs w:val="23"/>
        </w:rPr>
        <w:t xml:space="preserve"> 1 marca 2021 r. i podlega ogłoszeniu w Dzienniku Urzędowym Województwa Kujawsko-Pomorskiego.</w:t>
      </w:r>
    </w:p>
    <w:p w:rsidR="00227707" w:rsidRPr="00800910" w:rsidRDefault="00227707" w:rsidP="008803B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69483F" w:rsidRDefault="0069483F" w:rsidP="00227707">
      <w:pPr>
        <w:spacing w:after="0" w:line="240" w:lineRule="auto"/>
        <w:rPr>
          <w:rFonts w:ascii="Times New Roman" w:hAnsi="Times New Roman"/>
          <w:color w:val="auto"/>
          <w:sz w:val="23"/>
          <w:szCs w:val="23"/>
        </w:rPr>
      </w:pPr>
    </w:p>
    <w:p w:rsidR="0069483F" w:rsidRPr="00800910" w:rsidRDefault="0069483F" w:rsidP="00227707">
      <w:pPr>
        <w:spacing w:after="0" w:line="240" w:lineRule="auto"/>
        <w:ind w:firstLine="3402"/>
        <w:jc w:val="center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Przewodniczący</w:t>
      </w:r>
    </w:p>
    <w:p w:rsidR="0069483F" w:rsidRPr="00800910" w:rsidRDefault="0069483F" w:rsidP="00227707">
      <w:pPr>
        <w:spacing w:after="0" w:line="240" w:lineRule="auto"/>
        <w:ind w:firstLine="3402"/>
        <w:jc w:val="center"/>
        <w:rPr>
          <w:rFonts w:ascii="Times New Roman" w:hAnsi="Times New Roman"/>
          <w:color w:val="auto"/>
          <w:sz w:val="23"/>
          <w:szCs w:val="23"/>
        </w:rPr>
      </w:pPr>
      <w:r w:rsidRPr="00800910">
        <w:rPr>
          <w:rFonts w:ascii="Times New Roman" w:hAnsi="Times New Roman"/>
          <w:color w:val="auto"/>
          <w:sz w:val="23"/>
          <w:szCs w:val="23"/>
        </w:rPr>
        <w:t>Rady Miasta Torunia</w:t>
      </w:r>
    </w:p>
    <w:p w:rsidR="00227707" w:rsidRPr="00800910" w:rsidRDefault="009E4BFD" w:rsidP="00227707">
      <w:pPr>
        <w:spacing w:after="0" w:line="240" w:lineRule="auto"/>
        <w:ind w:firstLine="3402"/>
        <w:jc w:val="center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/-/</w:t>
      </w:r>
      <w:bookmarkStart w:id="3" w:name="_GoBack"/>
      <w:bookmarkEnd w:id="3"/>
      <w:r w:rsidR="0069483F" w:rsidRPr="00800910">
        <w:rPr>
          <w:rFonts w:ascii="Times New Roman" w:hAnsi="Times New Roman"/>
          <w:color w:val="auto"/>
          <w:sz w:val="23"/>
          <w:szCs w:val="23"/>
        </w:rPr>
        <w:t>Marcin Czyżniewski</w:t>
      </w:r>
    </w:p>
    <w:sectPr w:rsidR="00227707" w:rsidRPr="00800910" w:rsidSect="00800910">
      <w:pgSz w:w="11906" w:h="16838"/>
      <w:pgMar w:top="1247" w:right="1418" w:bottom="1247" w:left="1418" w:header="709" w:footer="709" w:gutter="0"/>
      <w:cols w:space="708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D1" w:rsidRDefault="005A67D1">
      <w:r>
        <w:separator/>
      </w:r>
    </w:p>
  </w:endnote>
  <w:endnote w:type="continuationSeparator" w:id="0">
    <w:p w:rsidR="005A67D1" w:rsidRDefault="005A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D1" w:rsidRDefault="005A67D1">
      <w:r>
        <w:separator/>
      </w:r>
    </w:p>
  </w:footnote>
  <w:footnote w:type="continuationSeparator" w:id="0">
    <w:p w:rsidR="005A67D1" w:rsidRDefault="005A67D1">
      <w:r>
        <w:continuationSeparator/>
      </w:r>
    </w:p>
  </w:footnote>
  <w:footnote w:id="1">
    <w:p w:rsidR="00B364FF" w:rsidRPr="00227707" w:rsidRDefault="00B364FF" w:rsidP="002277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707">
        <w:rPr>
          <w:rStyle w:val="Znakiprzypiswdolnych"/>
          <w:rFonts w:ascii="Times New Roman" w:hAnsi="Times New Roman"/>
          <w:sz w:val="20"/>
          <w:szCs w:val="20"/>
        </w:rPr>
        <w:footnoteRef/>
      </w:r>
      <w:r w:rsidRPr="00227707">
        <w:rPr>
          <w:rFonts w:ascii="Times New Roman" w:hAnsi="Times New Roman"/>
          <w:sz w:val="20"/>
          <w:szCs w:val="20"/>
        </w:rPr>
        <w:t xml:space="preserve"> Zmiany tekstu jednolitego wymienionej ustawy zostały ogłoszone w Dz. U. z 2020 r. poz. 1378.</w:t>
      </w:r>
    </w:p>
  </w:footnote>
  <w:footnote w:id="2">
    <w:p w:rsidR="00B364FF" w:rsidRPr="00227707" w:rsidRDefault="00B364FF" w:rsidP="002277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707">
        <w:rPr>
          <w:rStyle w:val="Znakiprzypiswdolnych"/>
          <w:rFonts w:ascii="Times New Roman" w:hAnsi="Times New Roman"/>
          <w:sz w:val="20"/>
          <w:szCs w:val="20"/>
        </w:rPr>
        <w:footnoteRef/>
      </w:r>
      <w:r w:rsidRPr="00227707">
        <w:rPr>
          <w:rStyle w:val="Odwoanieprzypisudolnego1"/>
          <w:rFonts w:ascii="Times New Roman" w:hAnsi="Times New Roman"/>
          <w:sz w:val="20"/>
          <w:szCs w:val="20"/>
        </w:rPr>
        <w:t xml:space="preserve"> </w:t>
      </w:r>
      <w:r w:rsidRPr="00227707">
        <w:rPr>
          <w:rFonts w:ascii="Times New Roman" w:hAnsi="Times New Roman"/>
          <w:sz w:val="20"/>
          <w:szCs w:val="20"/>
        </w:rPr>
        <w:t>Zmiany tekstu jednolitego uchwały zostały ogłoszone w Dz. Urz. Woj. Kuj.-Pom. z 2020 r. poz. 5682.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BF5424"/>
    <w:multiLevelType w:val="hybridMultilevel"/>
    <w:tmpl w:val="4F22282C"/>
    <w:lvl w:ilvl="0" w:tplc="EAB8268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E47145"/>
    <w:multiLevelType w:val="hybridMultilevel"/>
    <w:tmpl w:val="B6A2E372"/>
    <w:lvl w:ilvl="0" w:tplc="EAB82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B15A05"/>
    <w:multiLevelType w:val="hybridMultilevel"/>
    <w:tmpl w:val="E678385C"/>
    <w:lvl w:ilvl="0" w:tplc="EAB82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8F08A2"/>
    <w:multiLevelType w:val="hybridMultilevel"/>
    <w:tmpl w:val="AEB6F3F6"/>
    <w:lvl w:ilvl="0" w:tplc="EAB82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E0DCB"/>
    <w:multiLevelType w:val="hybridMultilevel"/>
    <w:tmpl w:val="8FDEC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C5"/>
    <w:rsid w:val="00163543"/>
    <w:rsid w:val="00227707"/>
    <w:rsid w:val="003679EC"/>
    <w:rsid w:val="004658C5"/>
    <w:rsid w:val="004B4468"/>
    <w:rsid w:val="005A67D1"/>
    <w:rsid w:val="0069483F"/>
    <w:rsid w:val="00701F06"/>
    <w:rsid w:val="00723374"/>
    <w:rsid w:val="00800910"/>
    <w:rsid w:val="008124F2"/>
    <w:rsid w:val="008803B4"/>
    <w:rsid w:val="00880462"/>
    <w:rsid w:val="009E4BFD"/>
    <w:rsid w:val="00A60EE6"/>
    <w:rsid w:val="00B364FF"/>
    <w:rsid w:val="00E260E5"/>
    <w:rsid w:val="00E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F71E87"/>
  <w15:chartTrackingRefBased/>
  <w15:docId w15:val="{27E3954C-DCE3-46B5-AE17-B277E0BB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color w:val="00000A"/>
      <w:kern w:val="1"/>
      <w:sz w:val="22"/>
      <w:szCs w:val="22"/>
    </w:rPr>
  </w:style>
  <w:style w:type="paragraph" w:styleId="Nagwek1">
    <w:name w:val="heading 1"/>
    <w:basedOn w:val="Normalny"/>
    <w:qFormat/>
    <w:pPr>
      <w:spacing w:after="0" w:line="100" w:lineRule="atLeas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Calibri" w:eastAsia="Times New Roman" w:hAnsi="Calibri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1">
    <w:name w:val="Odwołanie przypisu końcowego1"/>
    <w:basedOn w:val="Domylnaczcionkaakapitu1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color w:val="00000A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  <w:jc w:val="both"/>
    </w:pPr>
    <w:rPr>
      <w:rFonts w:ascii="Times New Roman" w:eastAsia="Calibri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Arial Unicode MS" w:hAnsi="Calibri"/>
      <w:color w:val="000000"/>
      <w:kern w:val="1"/>
      <w:sz w:val="22"/>
      <w:szCs w:val="22"/>
    </w:rPr>
  </w:style>
  <w:style w:type="paragraph" w:customStyle="1" w:styleId="Tekstpodstawowy31">
    <w:name w:val="Tekst podstawowy 31"/>
    <w:pPr>
      <w:suppressAutoHyphens/>
      <w:spacing w:after="120"/>
    </w:pPr>
    <w:rPr>
      <w:color w:val="000000"/>
      <w:kern w:val="1"/>
      <w:sz w:val="16"/>
      <w:szCs w:val="16"/>
    </w:r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spacing w:before="28" w:after="119" w:line="100" w:lineRule="atLeast"/>
    </w:pPr>
    <w:rPr>
      <w:sz w:val="24"/>
      <w:szCs w:val="24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uiPriority w:val="34"/>
    <w:qFormat/>
    <w:rsid w:val="0022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 Nr  657                                                                               „P"</vt:lpstr>
    </vt:vector>
  </TitlesOfParts>
  <Company>UMT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 Nr  657                                                                               „P"</dc:title>
  <dc:subject/>
  <dc:creator>m.goczynski</dc:creator>
  <cp:keywords/>
  <cp:lastModifiedBy>b.czerwonka</cp:lastModifiedBy>
  <cp:revision>2</cp:revision>
  <cp:lastPrinted>2021-02-08T11:50:00Z</cp:lastPrinted>
  <dcterms:created xsi:type="dcterms:W3CDTF">2021-02-23T10:33:00Z</dcterms:created>
  <dcterms:modified xsi:type="dcterms:W3CDTF">2021-02-23T10:33:00Z</dcterms:modified>
</cp:coreProperties>
</file>